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B6A5" w14:textId="393D53AF" w:rsidR="00057004" w:rsidRDefault="00A65F4D" w:rsidP="00057004">
      <w:pPr>
        <w:pStyle w:val="TitlePage1"/>
      </w:pPr>
      <w:r>
        <w:rPr>
          <w:noProof/>
          <w:lang w:eastAsia="en-AU"/>
        </w:rPr>
        <w:drawing>
          <wp:anchor distT="0" distB="0" distL="114300" distR="114300" simplePos="0" relativeHeight="251658240" behindDoc="1" locked="0" layoutInCell="1" allowOverlap="1" wp14:anchorId="00C023B7" wp14:editId="39D8D5DC">
            <wp:simplePos x="0" y="0"/>
            <wp:positionH relativeFrom="column">
              <wp:posOffset>5183505</wp:posOffset>
            </wp:positionH>
            <wp:positionV relativeFrom="paragraph">
              <wp:posOffset>8459470</wp:posOffset>
            </wp:positionV>
            <wp:extent cx="1080000" cy="1080000"/>
            <wp:effectExtent l="0" t="0" r="6350" b="6350"/>
            <wp:wrapNone/>
            <wp:docPr id="13" name="VCAT Seal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VICTORIAN CIVIL AND ADMINISTRATIVE TRIBUNAL</w:t>
      </w:r>
    </w:p>
    <w:p w14:paraId="00BDB65B" w14:textId="77777777" w:rsidR="00057004" w:rsidRDefault="007E3C2A" w:rsidP="00517ECD">
      <w:pPr>
        <w:pStyle w:val="TitlePage1"/>
        <w:spacing w:after="120"/>
      </w:pPr>
      <w:bookmarkStart w:id="0" w:name="Division"/>
      <w:bookmarkEnd w:id="0"/>
      <w:r>
        <w:t xml:space="preserve">planning and environment </w:t>
      </w:r>
      <w:r w:rsidR="00057004">
        <w:t>DIVISION</w:t>
      </w:r>
    </w:p>
    <w:tbl>
      <w:tblPr>
        <w:tblW w:w="5000" w:type="pct"/>
        <w:tblLook w:val="0000" w:firstRow="0" w:lastRow="0" w:firstColumn="0" w:lastColumn="0" w:noHBand="0" w:noVBand="0"/>
      </w:tblPr>
      <w:tblGrid>
        <w:gridCol w:w="4494"/>
        <w:gridCol w:w="4011"/>
      </w:tblGrid>
      <w:tr w:rsidR="00057004" w14:paraId="00C678AE" w14:textId="77777777" w:rsidTr="000D08F7">
        <w:trPr>
          <w:cantSplit/>
        </w:trPr>
        <w:tc>
          <w:tcPr>
            <w:tcW w:w="2642" w:type="pct"/>
          </w:tcPr>
          <w:p w14:paraId="09096F71" w14:textId="77777777" w:rsidR="00057004" w:rsidRDefault="007E3C2A" w:rsidP="000D08F7">
            <w:pPr>
              <w:pStyle w:val="TitlePage2"/>
            </w:pPr>
            <w:bookmarkStart w:id="1" w:name="SubDivision"/>
            <w:bookmarkEnd w:id="1"/>
            <w:r>
              <w:t xml:space="preserve">planning and environment </w:t>
            </w:r>
            <w:r w:rsidR="00057004">
              <w:t>LIST</w:t>
            </w:r>
          </w:p>
        </w:tc>
        <w:tc>
          <w:tcPr>
            <w:tcW w:w="2358" w:type="pct"/>
          </w:tcPr>
          <w:p w14:paraId="4A05063D" w14:textId="77777777" w:rsidR="00057004" w:rsidRDefault="00057004" w:rsidP="000D08F7">
            <w:pPr>
              <w:pStyle w:val="TitlePage3"/>
            </w:pPr>
            <w:bookmarkStart w:id="2" w:name="FileNo1"/>
            <w:bookmarkEnd w:id="2"/>
            <w:r>
              <w:t xml:space="preserve">vcat reference No. </w:t>
            </w:r>
            <w:r w:rsidR="00A23D8A">
              <w:t>P</w:t>
            </w:r>
            <w:r w:rsidR="00E16E80">
              <w:t>448</w:t>
            </w:r>
            <w:r w:rsidR="00A23D8A">
              <w:t>/2019</w:t>
            </w:r>
          </w:p>
          <w:p w14:paraId="3DCD1C61" w14:textId="77777777" w:rsidR="00057004" w:rsidRDefault="00057004" w:rsidP="000D08F7">
            <w:pPr>
              <w:pStyle w:val="TitlePage3"/>
            </w:pPr>
            <w:r>
              <w:t xml:space="preserve">Permit Application no. </w:t>
            </w:r>
            <w:r w:rsidR="00E16E80">
              <w:t>TPA/48468/A</w:t>
            </w:r>
          </w:p>
        </w:tc>
      </w:tr>
      <w:tr w:rsidR="00057004" w14:paraId="610AFA45" w14:textId="77777777" w:rsidTr="000D08F7">
        <w:tblPrEx>
          <w:jc w:val="center"/>
        </w:tblPrEx>
        <w:trPr>
          <w:cantSplit/>
          <w:jc w:val="center"/>
        </w:trPr>
        <w:tc>
          <w:tcPr>
            <w:tcW w:w="5000" w:type="pct"/>
            <w:gridSpan w:val="2"/>
          </w:tcPr>
          <w:p w14:paraId="59104A9B" w14:textId="77777777" w:rsidR="00057004" w:rsidRDefault="00057004" w:rsidP="000D08F7">
            <w:pPr>
              <w:pStyle w:val="TitlePage2"/>
              <w:jc w:val="center"/>
            </w:pPr>
            <w:r>
              <w:t>CATCHWORDS</w:t>
            </w:r>
          </w:p>
        </w:tc>
      </w:tr>
      <w:tr w:rsidR="00057004" w14:paraId="365C6AE9" w14:textId="77777777" w:rsidTr="000D08F7">
        <w:tblPrEx>
          <w:jc w:val="center"/>
        </w:tblPrEx>
        <w:trPr>
          <w:cantSplit/>
          <w:jc w:val="center"/>
        </w:trPr>
        <w:tc>
          <w:tcPr>
            <w:tcW w:w="5000" w:type="pct"/>
            <w:gridSpan w:val="2"/>
          </w:tcPr>
          <w:p w14:paraId="7D3005D3" w14:textId="77777777" w:rsidR="00057004" w:rsidRDefault="000F36CE" w:rsidP="000D08F7">
            <w:pPr>
              <w:pStyle w:val="Catchwords"/>
            </w:pPr>
            <w:r w:rsidRPr="004B40DA">
              <w:t xml:space="preserve">Section 77 of the </w:t>
            </w:r>
            <w:r w:rsidRPr="004B40DA">
              <w:rPr>
                <w:i/>
              </w:rPr>
              <w:t>Planning and Environment Act (1987)</w:t>
            </w:r>
            <w:r w:rsidRPr="004B40DA">
              <w:t xml:space="preserve">. Monash Planning Scheme. General Residential Zone Schedule 2 (GRZ2); Dwelling alteration. </w:t>
            </w:r>
            <w:r w:rsidRPr="00627C8F">
              <w:t>Front setback.</w:t>
            </w:r>
            <w:r w:rsidR="00627C8F">
              <w:t xml:space="preserve"> Local policy</w:t>
            </w:r>
            <w:r w:rsidR="00E701AB">
              <w:t>; Streetscape character</w:t>
            </w:r>
            <w:r w:rsidR="00627C8F">
              <w:t>.</w:t>
            </w:r>
            <w:r w:rsidR="000D08F7" w:rsidRPr="00627C8F">
              <w:t xml:space="preserve"> </w:t>
            </w:r>
          </w:p>
        </w:tc>
      </w:tr>
    </w:tbl>
    <w:p w14:paraId="127E3ED8" w14:textId="77777777" w:rsidR="00057004" w:rsidRDefault="00057004" w:rsidP="00057004">
      <w:bookmarkStart w:id="3" w:name="Catchwords"/>
      <w:bookmarkEnd w:id="3"/>
    </w:p>
    <w:tbl>
      <w:tblPr>
        <w:tblW w:w="5000" w:type="pct"/>
        <w:tblLook w:val="04A0" w:firstRow="1" w:lastRow="0" w:firstColumn="1" w:lastColumn="0" w:noHBand="0" w:noVBand="1"/>
      </w:tblPr>
      <w:tblGrid>
        <w:gridCol w:w="3545"/>
        <w:gridCol w:w="4960"/>
      </w:tblGrid>
      <w:tr w:rsidR="00057004" w14:paraId="71818756" w14:textId="77777777" w:rsidTr="000D08F7">
        <w:tc>
          <w:tcPr>
            <w:tcW w:w="2084" w:type="pct"/>
            <w:hideMark/>
          </w:tcPr>
          <w:p w14:paraId="103DA1EA" w14:textId="77777777" w:rsidR="00057004" w:rsidRDefault="00057004" w:rsidP="000D08F7">
            <w:pPr>
              <w:pStyle w:val="TitlePage2"/>
            </w:pPr>
            <w:bookmarkStart w:id="4" w:name="DELcomplainants2"/>
            <w:bookmarkStart w:id="5" w:name="DELapp"/>
            <w:bookmarkStart w:id="6" w:name="DELitmo"/>
            <w:bookmarkStart w:id="7" w:name="DELcar"/>
            <w:r>
              <w:t>APPLICANT</w:t>
            </w:r>
          </w:p>
        </w:tc>
        <w:tc>
          <w:tcPr>
            <w:tcW w:w="2916" w:type="pct"/>
          </w:tcPr>
          <w:p w14:paraId="27793F63" w14:textId="77777777" w:rsidR="00057004" w:rsidRDefault="00E16E80" w:rsidP="000D08F7">
            <w:pPr>
              <w:pStyle w:val="TitlePagetext"/>
            </w:pPr>
            <w:bookmarkStart w:id="8" w:name="Applicant"/>
            <w:bookmarkEnd w:id="8"/>
            <w:r>
              <w:t xml:space="preserve">Karl and Madeleine Vezis </w:t>
            </w:r>
          </w:p>
        </w:tc>
      </w:tr>
      <w:tr w:rsidR="00057004" w14:paraId="7796FA78" w14:textId="77777777" w:rsidTr="000D08F7">
        <w:tc>
          <w:tcPr>
            <w:tcW w:w="2084" w:type="pct"/>
            <w:hideMark/>
          </w:tcPr>
          <w:p w14:paraId="1131EE4C" w14:textId="77777777" w:rsidR="00057004" w:rsidRDefault="00057004" w:rsidP="000D08F7">
            <w:pPr>
              <w:pStyle w:val="TitlePage2"/>
            </w:pPr>
            <w:r>
              <w:t>responsible authority</w:t>
            </w:r>
          </w:p>
        </w:tc>
        <w:tc>
          <w:tcPr>
            <w:tcW w:w="2916" w:type="pct"/>
          </w:tcPr>
          <w:p w14:paraId="438F9D6B" w14:textId="77777777" w:rsidR="00057004" w:rsidRDefault="00A24335" w:rsidP="000D08F7">
            <w:pPr>
              <w:pStyle w:val="TitlePagetext"/>
            </w:pPr>
            <w:r>
              <w:t>Monash City Council</w:t>
            </w:r>
          </w:p>
        </w:tc>
      </w:tr>
      <w:tr w:rsidR="00057004" w14:paraId="6D049E0B" w14:textId="77777777" w:rsidTr="000D08F7">
        <w:tc>
          <w:tcPr>
            <w:tcW w:w="2084" w:type="pct"/>
            <w:hideMark/>
          </w:tcPr>
          <w:p w14:paraId="7613BD4F" w14:textId="77777777" w:rsidR="00057004" w:rsidRDefault="00057004" w:rsidP="000D08F7">
            <w:pPr>
              <w:pStyle w:val="TitlePage2"/>
            </w:pPr>
            <w:bookmarkStart w:id="9" w:name="DELrespondents2"/>
            <w:bookmarkStart w:id="10" w:name="DELsubjectland"/>
            <w:bookmarkEnd w:id="4"/>
            <w:bookmarkEnd w:id="5"/>
            <w:r>
              <w:t>SUBJECT LAND</w:t>
            </w:r>
          </w:p>
        </w:tc>
        <w:tc>
          <w:tcPr>
            <w:tcW w:w="2916" w:type="pct"/>
          </w:tcPr>
          <w:p w14:paraId="6E52794E" w14:textId="77777777" w:rsidR="00057004" w:rsidRDefault="00A24335" w:rsidP="000D08F7">
            <w:pPr>
              <w:pStyle w:val="TitlePagetext"/>
            </w:pPr>
            <w:bookmarkStart w:id="11" w:name="subjectland"/>
            <w:bookmarkEnd w:id="11"/>
            <w:r>
              <w:t>1/6 Dunoon Street, Mulgrave</w:t>
            </w:r>
          </w:p>
        </w:tc>
        <w:bookmarkEnd w:id="6"/>
        <w:bookmarkEnd w:id="7"/>
        <w:bookmarkEnd w:id="9"/>
        <w:bookmarkEnd w:id="10"/>
      </w:tr>
      <w:tr w:rsidR="00057004" w14:paraId="25D03CC8" w14:textId="77777777" w:rsidTr="000D08F7">
        <w:tc>
          <w:tcPr>
            <w:tcW w:w="2084" w:type="pct"/>
            <w:hideMark/>
          </w:tcPr>
          <w:p w14:paraId="652FFDCF" w14:textId="77777777" w:rsidR="00057004" w:rsidRDefault="00057004" w:rsidP="000D08F7">
            <w:pPr>
              <w:pStyle w:val="TitlePage2"/>
            </w:pPr>
            <w:bookmarkStart w:id="12" w:name="INSresponsibleAuthority"/>
            <w:bookmarkEnd w:id="12"/>
            <w:r>
              <w:t>WHERE HELD</w:t>
            </w:r>
          </w:p>
        </w:tc>
        <w:tc>
          <w:tcPr>
            <w:tcW w:w="2916" w:type="pct"/>
            <w:hideMark/>
          </w:tcPr>
          <w:p w14:paraId="7D28EB1A" w14:textId="77777777" w:rsidR="00057004" w:rsidRDefault="00057004" w:rsidP="000D08F7">
            <w:pPr>
              <w:pStyle w:val="TitlePagetext"/>
            </w:pPr>
            <w:bookmarkStart w:id="13" w:name="Location"/>
            <w:bookmarkEnd w:id="13"/>
            <w:r>
              <w:t>Melbourne</w:t>
            </w:r>
          </w:p>
        </w:tc>
      </w:tr>
      <w:tr w:rsidR="00057004" w14:paraId="27F23156" w14:textId="77777777" w:rsidTr="000D08F7">
        <w:tc>
          <w:tcPr>
            <w:tcW w:w="2084" w:type="pct"/>
            <w:hideMark/>
          </w:tcPr>
          <w:p w14:paraId="40B893B5" w14:textId="77777777" w:rsidR="00057004" w:rsidRDefault="00057004" w:rsidP="000D08F7">
            <w:pPr>
              <w:pStyle w:val="TitlePage2"/>
            </w:pPr>
            <w:r>
              <w:t>BEFORE</w:t>
            </w:r>
          </w:p>
        </w:tc>
        <w:tc>
          <w:tcPr>
            <w:tcW w:w="2916" w:type="pct"/>
            <w:hideMark/>
          </w:tcPr>
          <w:p w14:paraId="0407526F" w14:textId="77777777" w:rsidR="00057004" w:rsidRDefault="00A23D8A" w:rsidP="000D08F7">
            <w:pPr>
              <w:pStyle w:val="TitlePagetext"/>
            </w:pPr>
            <w:bookmarkStart w:id="14" w:name="Before"/>
            <w:bookmarkEnd w:id="14"/>
            <w:r>
              <w:t>Graeme Dav</w:t>
            </w:r>
            <w:bookmarkStart w:id="15" w:name="_GoBack"/>
            <w:bookmarkEnd w:id="15"/>
            <w:r>
              <w:t>id</w:t>
            </w:r>
            <w:r w:rsidR="00057004">
              <w:t>, Member</w:t>
            </w:r>
          </w:p>
        </w:tc>
      </w:tr>
      <w:tr w:rsidR="00057004" w14:paraId="1C78520E" w14:textId="77777777" w:rsidTr="000D08F7">
        <w:tc>
          <w:tcPr>
            <w:tcW w:w="2084" w:type="pct"/>
            <w:hideMark/>
          </w:tcPr>
          <w:p w14:paraId="115B6EE3" w14:textId="77777777" w:rsidR="00057004" w:rsidRDefault="00057004" w:rsidP="000D08F7">
            <w:pPr>
              <w:pStyle w:val="TitlePage2"/>
            </w:pPr>
            <w:r>
              <w:t>HEARING TYPE</w:t>
            </w:r>
          </w:p>
        </w:tc>
        <w:tc>
          <w:tcPr>
            <w:tcW w:w="2916" w:type="pct"/>
            <w:hideMark/>
          </w:tcPr>
          <w:p w14:paraId="7BB9A83E" w14:textId="77777777" w:rsidR="00057004" w:rsidRDefault="00057004" w:rsidP="000D08F7">
            <w:pPr>
              <w:pStyle w:val="TitlePagetext"/>
            </w:pPr>
            <w:bookmarkStart w:id="16" w:name="HearingType"/>
            <w:bookmarkEnd w:id="16"/>
            <w:r>
              <w:t>Hearing</w:t>
            </w:r>
          </w:p>
        </w:tc>
      </w:tr>
      <w:tr w:rsidR="00057004" w14:paraId="0B542B31" w14:textId="77777777" w:rsidTr="000D08F7">
        <w:tc>
          <w:tcPr>
            <w:tcW w:w="2084" w:type="pct"/>
            <w:hideMark/>
          </w:tcPr>
          <w:p w14:paraId="4EF09C8E" w14:textId="77777777" w:rsidR="00057004" w:rsidRDefault="00057004" w:rsidP="000D08F7">
            <w:pPr>
              <w:pStyle w:val="TitlePage2"/>
            </w:pPr>
            <w:r>
              <w:t>DATE OF HEARING</w:t>
            </w:r>
          </w:p>
        </w:tc>
        <w:tc>
          <w:tcPr>
            <w:tcW w:w="2916" w:type="pct"/>
            <w:hideMark/>
          </w:tcPr>
          <w:p w14:paraId="7FB2D9A2" w14:textId="77777777" w:rsidR="00057004" w:rsidRDefault="00A23D8A" w:rsidP="000D08F7">
            <w:pPr>
              <w:pStyle w:val="TitlePagetext"/>
            </w:pPr>
            <w:bookmarkStart w:id="17" w:name="HearingDate"/>
            <w:bookmarkEnd w:id="17"/>
            <w:r>
              <w:t>13 August 2019</w:t>
            </w:r>
          </w:p>
        </w:tc>
      </w:tr>
      <w:tr w:rsidR="00057004" w14:paraId="14C46ABA" w14:textId="77777777" w:rsidTr="000D08F7">
        <w:tc>
          <w:tcPr>
            <w:tcW w:w="2084" w:type="pct"/>
            <w:hideMark/>
          </w:tcPr>
          <w:p w14:paraId="3709BCB6" w14:textId="77777777" w:rsidR="00057004" w:rsidRDefault="00057004" w:rsidP="000D08F7">
            <w:pPr>
              <w:pStyle w:val="TitlePage2"/>
            </w:pPr>
            <w:r>
              <w:t>DATE OF ORDER</w:t>
            </w:r>
          </w:p>
        </w:tc>
        <w:tc>
          <w:tcPr>
            <w:tcW w:w="2916" w:type="pct"/>
          </w:tcPr>
          <w:p w14:paraId="0B9957A7" w14:textId="77777777" w:rsidR="00057004" w:rsidRDefault="00E701AB" w:rsidP="000D08F7">
            <w:pPr>
              <w:pStyle w:val="TitlePagetext"/>
            </w:pPr>
            <w:bookmarkStart w:id="18" w:name="DateOrder"/>
            <w:bookmarkEnd w:id="18"/>
            <w:r>
              <w:t>11 September 2019</w:t>
            </w:r>
          </w:p>
        </w:tc>
      </w:tr>
      <w:tr w:rsidR="00057004" w14:paraId="3FE107B8" w14:textId="77777777" w:rsidTr="000D08F7">
        <w:tc>
          <w:tcPr>
            <w:tcW w:w="2084" w:type="pct"/>
            <w:hideMark/>
          </w:tcPr>
          <w:p w14:paraId="4E3F18DE" w14:textId="77777777" w:rsidR="00057004" w:rsidRDefault="00057004" w:rsidP="000D08F7">
            <w:pPr>
              <w:pStyle w:val="TitlePage2"/>
            </w:pPr>
            <w:r>
              <w:t>CITATION</w:t>
            </w:r>
          </w:p>
        </w:tc>
        <w:tc>
          <w:tcPr>
            <w:tcW w:w="2916" w:type="pct"/>
            <w:hideMark/>
          </w:tcPr>
          <w:p w14:paraId="65A9D86F" w14:textId="77777777" w:rsidR="00057004" w:rsidRDefault="000F36CE" w:rsidP="004B40DA">
            <w:r>
              <w:t>Vezis v Monash CC [2019] VCAT 1346</w:t>
            </w:r>
          </w:p>
        </w:tc>
      </w:tr>
    </w:tbl>
    <w:p w14:paraId="36F1FF2D" w14:textId="77777777" w:rsidR="00057004" w:rsidRDefault="00057004" w:rsidP="00057004"/>
    <w:p w14:paraId="7CD7394F" w14:textId="77777777" w:rsidR="00057004" w:rsidRDefault="00057004" w:rsidP="00057004">
      <w:pPr>
        <w:pStyle w:val="Heading1"/>
      </w:pPr>
      <w:r>
        <w:t>Order</w:t>
      </w:r>
    </w:p>
    <w:p w14:paraId="67BE9557" w14:textId="77777777" w:rsidR="00207813" w:rsidRPr="00207813" w:rsidRDefault="00207813" w:rsidP="00207813">
      <w:pPr>
        <w:keepNext/>
        <w:spacing w:before="240" w:after="120"/>
        <w:outlineLvl w:val="2"/>
        <w:rPr>
          <w:rFonts w:ascii="Arial" w:hAnsi="Arial"/>
          <w:b/>
          <w:bCs/>
          <w:iCs/>
          <w:sz w:val="24"/>
          <w:szCs w:val="24"/>
        </w:rPr>
      </w:pPr>
      <w:r w:rsidRPr="00207813">
        <w:rPr>
          <w:rFonts w:ascii="Arial" w:hAnsi="Arial"/>
          <w:b/>
          <w:bCs/>
          <w:iCs/>
          <w:sz w:val="24"/>
          <w:szCs w:val="24"/>
        </w:rPr>
        <w:t xml:space="preserve">Amend permit application </w:t>
      </w:r>
    </w:p>
    <w:p w14:paraId="15741E5F" w14:textId="77777777" w:rsidR="00207813" w:rsidRPr="00207813" w:rsidRDefault="00207813" w:rsidP="00157E31">
      <w:pPr>
        <w:pStyle w:val="Order2"/>
      </w:pPr>
      <w:r w:rsidRPr="0089673C">
        <w:t>Pursuant</w:t>
      </w:r>
      <w:r w:rsidRPr="00207813">
        <w:rPr>
          <w:lang w:val="en-GB"/>
        </w:rPr>
        <w:t xml:space="preserve"> to clause 64 of Schedule 1 of the </w:t>
      </w:r>
      <w:r w:rsidRPr="00207813">
        <w:rPr>
          <w:i/>
          <w:lang w:val="en-GB"/>
        </w:rPr>
        <w:t xml:space="preserve">Victorian Civil &amp; Administrative Tribunal Act </w:t>
      </w:r>
      <w:r w:rsidRPr="00207813">
        <w:rPr>
          <w:i/>
        </w:rPr>
        <w:t>1998</w:t>
      </w:r>
      <w:r w:rsidRPr="00207813">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6"/>
        <w:gridCol w:w="5029"/>
      </w:tblGrid>
      <w:tr w:rsidR="00207813" w:rsidRPr="00207813" w14:paraId="5C04C7FC" w14:textId="77777777" w:rsidTr="007C4B5A">
        <w:tc>
          <w:tcPr>
            <w:tcW w:w="3528" w:type="dxa"/>
            <w:shd w:val="clear" w:color="auto" w:fill="auto"/>
          </w:tcPr>
          <w:p w14:paraId="22BDEE57" w14:textId="77777777" w:rsidR="00207813" w:rsidRPr="00207813" w:rsidRDefault="00207813" w:rsidP="00207813">
            <w:pPr>
              <w:numPr>
                <w:ilvl w:val="0"/>
                <w:numId w:val="1"/>
              </w:numPr>
              <w:spacing w:after="120" w:line="300" w:lineRule="atLeast"/>
            </w:pPr>
            <w:bookmarkStart w:id="19" w:name="_Hlk18488223"/>
            <w:r w:rsidRPr="00207813">
              <w:t>Prepared by:</w:t>
            </w:r>
          </w:p>
        </w:tc>
        <w:tc>
          <w:tcPr>
            <w:tcW w:w="5193" w:type="dxa"/>
            <w:shd w:val="clear" w:color="auto" w:fill="auto"/>
          </w:tcPr>
          <w:p w14:paraId="6B6D528C" w14:textId="77777777" w:rsidR="00207813" w:rsidRPr="00207813" w:rsidRDefault="003546AB" w:rsidP="00207813">
            <w:pPr>
              <w:spacing w:after="120" w:line="300" w:lineRule="atLeast"/>
            </w:pPr>
            <w:r>
              <w:t xml:space="preserve">Natasha Levan, Residential Designer </w:t>
            </w:r>
          </w:p>
        </w:tc>
      </w:tr>
      <w:tr w:rsidR="00207813" w:rsidRPr="00207813" w14:paraId="6596A09A" w14:textId="77777777" w:rsidTr="007C4B5A">
        <w:tc>
          <w:tcPr>
            <w:tcW w:w="3528" w:type="dxa"/>
            <w:shd w:val="clear" w:color="auto" w:fill="auto"/>
          </w:tcPr>
          <w:p w14:paraId="3E78E397" w14:textId="77777777" w:rsidR="00207813" w:rsidRPr="00207813" w:rsidRDefault="00207813" w:rsidP="00207813">
            <w:pPr>
              <w:numPr>
                <w:ilvl w:val="0"/>
                <w:numId w:val="1"/>
              </w:numPr>
              <w:spacing w:after="120" w:line="300" w:lineRule="atLeast"/>
            </w:pPr>
            <w:r w:rsidRPr="00207813">
              <w:t>Drawing numbers:</w:t>
            </w:r>
          </w:p>
        </w:tc>
        <w:tc>
          <w:tcPr>
            <w:tcW w:w="5193" w:type="dxa"/>
            <w:shd w:val="clear" w:color="auto" w:fill="auto"/>
          </w:tcPr>
          <w:p w14:paraId="3EBFF7EA" w14:textId="77777777" w:rsidR="00207813" w:rsidRPr="00207813" w:rsidRDefault="003546AB" w:rsidP="00207813">
            <w:pPr>
              <w:spacing w:after="120" w:line="300" w:lineRule="atLeast"/>
            </w:pPr>
            <w:r>
              <w:t xml:space="preserve">AO1, AO2 Revision no i </w:t>
            </w:r>
          </w:p>
        </w:tc>
      </w:tr>
      <w:tr w:rsidR="00207813" w:rsidRPr="00207813" w14:paraId="7AAD12A4" w14:textId="77777777" w:rsidTr="007C4B5A">
        <w:tc>
          <w:tcPr>
            <w:tcW w:w="3528" w:type="dxa"/>
            <w:shd w:val="clear" w:color="auto" w:fill="auto"/>
          </w:tcPr>
          <w:p w14:paraId="5E9C108E" w14:textId="77777777" w:rsidR="00207813" w:rsidRPr="00207813" w:rsidRDefault="00207813" w:rsidP="00207813">
            <w:pPr>
              <w:numPr>
                <w:ilvl w:val="0"/>
                <w:numId w:val="1"/>
              </w:numPr>
              <w:spacing w:after="120" w:line="300" w:lineRule="atLeast"/>
            </w:pPr>
            <w:r w:rsidRPr="00207813">
              <w:t>Dated:</w:t>
            </w:r>
          </w:p>
        </w:tc>
        <w:tc>
          <w:tcPr>
            <w:tcW w:w="5193" w:type="dxa"/>
            <w:shd w:val="clear" w:color="auto" w:fill="auto"/>
          </w:tcPr>
          <w:p w14:paraId="243404E9" w14:textId="77777777" w:rsidR="00207813" w:rsidRPr="00207813" w:rsidRDefault="003546AB" w:rsidP="00207813">
            <w:pPr>
              <w:spacing w:after="120" w:line="300" w:lineRule="atLeast"/>
            </w:pPr>
            <w:r>
              <w:t>22 May 2019</w:t>
            </w:r>
            <w:r w:rsidR="00A202C9">
              <w:t>.</w:t>
            </w:r>
            <w:r>
              <w:t xml:space="preserve"> </w:t>
            </w:r>
          </w:p>
        </w:tc>
      </w:tr>
    </w:tbl>
    <w:bookmarkEnd w:id="19"/>
    <w:p w14:paraId="5CB12007" w14:textId="77777777" w:rsidR="00207813" w:rsidRPr="003546AB" w:rsidRDefault="003546AB" w:rsidP="00157E31">
      <w:pPr>
        <w:pStyle w:val="Order1"/>
        <w:ind w:left="567"/>
      </w:pPr>
      <w:r>
        <w:t>a</w:t>
      </w:r>
      <w:r w:rsidRPr="003546AB">
        <w:t xml:space="preserve">nd </w:t>
      </w:r>
      <w:r>
        <w:t xml:space="preserve">(landscape plan) </w:t>
      </w:r>
    </w:p>
    <w:tbl>
      <w:tblPr>
        <w:tblW w:w="0" w:type="auto"/>
        <w:tblLook w:val="01E0" w:firstRow="1" w:lastRow="1" w:firstColumn="1" w:lastColumn="1" w:noHBand="0" w:noVBand="0"/>
      </w:tblPr>
      <w:tblGrid>
        <w:gridCol w:w="3475"/>
        <w:gridCol w:w="5030"/>
      </w:tblGrid>
      <w:tr w:rsidR="003546AB" w:rsidRPr="00207813" w14:paraId="41F6E07B" w14:textId="77777777" w:rsidTr="007C4B5A">
        <w:tc>
          <w:tcPr>
            <w:tcW w:w="3528" w:type="dxa"/>
            <w:shd w:val="clear" w:color="auto" w:fill="auto"/>
          </w:tcPr>
          <w:p w14:paraId="12268F87" w14:textId="77777777" w:rsidR="003546AB" w:rsidRPr="00207813" w:rsidRDefault="003546AB" w:rsidP="003546AB">
            <w:pPr>
              <w:pStyle w:val="Para4"/>
              <w:numPr>
                <w:ilvl w:val="0"/>
                <w:numId w:val="32"/>
              </w:numPr>
            </w:pPr>
            <w:r w:rsidRPr="00207813">
              <w:t>Prepared by:</w:t>
            </w:r>
          </w:p>
        </w:tc>
        <w:tc>
          <w:tcPr>
            <w:tcW w:w="5193" w:type="dxa"/>
            <w:shd w:val="clear" w:color="auto" w:fill="auto"/>
          </w:tcPr>
          <w:p w14:paraId="6C5CDF7E" w14:textId="77777777" w:rsidR="003546AB" w:rsidRPr="00207813" w:rsidRDefault="00E701AB" w:rsidP="007C4B5A">
            <w:pPr>
              <w:spacing w:after="120" w:line="300" w:lineRule="atLeast"/>
            </w:pPr>
            <w:bookmarkStart w:id="20" w:name="_Hlk19098735"/>
            <w:r>
              <w:t>Habitat Landscape and Design Consultants</w:t>
            </w:r>
            <w:bookmarkEnd w:id="20"/>
          </w:p>
        </w:tc>
      </w:tr>
      <w:tr w:rsidR="003546AB" w:rsidRPr="00207813" w14:paraId="1D54A236" w14:textId="77777777" w:rsidTr="007C4B5A">
        <w:tc>
          <w:tcPr>
            <w:tcW w:w="3528" w:type="dxa"/>
            <w:shd w:val="clear" w:color="auto" w:fill="auto"/>
          </w:tcPr>
          <w:p w14:paraId="370EA454" w14:textId="77777777" w:rsidR="003546AB" w:rsidRPr="00207813" w:rsidRDefault="003546AB" w:rsidP="007C4B5A">
            <w:pPr>
              <w:numPr>
                <w:ilvl w:val="0"/>
                <w:numId w:val="1"/>
              </w:numPr>
              <w:spacing w:after="120" w:line="300" w:lineRule="atLeast"/>
            </w:pPr>
            <w:r w:rsidRPr="00207813">
              <w:t>Drawing numbers:</w:t>
            </w:r>
          </w:p>
        </w:tc>
        <w:tc>
          <w:tcPr>
            <w:tcW w:w="5193" w:type="dxa"/>
            <w:shd w:val="clear" w:color="auto" w:fill="auto"/>
          </w:tcPr>
          <w:p w14:paraId="47C2F598" w14:textId="1445037D" w:rsidR="003546AB" w:rsidRPr="00207813" w:rsidRDefault="003546AB" w:rsidP="007C4B5A">
            <w:pPr>
              <w:spacing w:after="120" w:line="300" w:lineRule="atLeast"/>
            </w:pPr>
            <w:r>
              <w:t xml:space="preserve">Sheet 1 of 1 </w:t>
            </w:r>
          </w:p>
        </w:tc>
      </w:tr>
      <w:tr w:rsidR="003546AB" w:rsidRPr="00207813" w14:paraId="5465BE4C" w14:textId="77777777" w:rsidTr="007C4B5A">
        <w:tc>
          <w:tcPr>
            <w:tcW w:w="3528" w:type="dxa"/>
            <w:shd w:val="clear" w:color="auto" w:fill="auto"/>
          </w:tcPr>
          <w:p w14:paraId="52DFAADD" w14:textId="77777777" w:rsidR="003546AB" w:rsidRPr="00207813" w:rsidRDefault="003546AB" w:rsidP="007C4B5A">
            <w:pPr>
              <w:numPr>
                <w:ilvl w:val="0"/>
                <w:numId w:val="1"/>
              </w:numPr>
              <w:spacing w:after="120" w:line="300" w:lineRule="atLeast"/>
            </w:pPr>
            <w:r w:rsidRPr="00207813">
              <w:t>Dated:</w:t>
            </w:r>
          </w:p>
        </w:tc>
        <w:tc>
          <w:tcPr>
            <w:tcW w:w="5193" w:type="dxa"/>
            <w:shd w:val="clear" w:color="auto" w:fill="auto"/>
          </w:tcPr>
          <w:p w14:paraId="69AAB16E" w14:textId="77777777" w:rsidR="003546AB" w:rsidRPr="00207813" w:rsidRDefault="003546AB" w:rsidP="007C4B5A">
            <w:pPr>
              <w:spacing w:after="120" w:line="300" w:lineRule="atLeast"/>
            </w:pPr>
            <w:r>
              <w:t>May 2019</w:t>
            </w:r>
            <w:r w:rsidR="00A202C9">
              <w:t>.</w:t>
            </w:r>
          </w:p>
        </w:tc>
      </w:tr>
    </w:tbl>
    <w:p w14:paraId="5E4254AE" w14:textId="77777777" w:rsidR="0060035B" w:rsidRDefault="0060035B" w:rsidP="0060035B"/>
    <w:p w14:paraId="31B786B5" w14:textId="314CEBEC" w:rsidR="00057004" w:rsidRDefault="00A65F4D" w:rsidP="00057004">
      <w:pPr>
        <w:pStyle w:val="Heading3"/>
      </w:pPr>
      <w:r>
        <w:rPr>
          <w:noProof/>
          <w:lang w:eastAsia="en-AU"/>
        </w:rPr>
        <w:lastRenderedPageBreak/>
        <w:drawing>
          <wp:anchor distT="0" distB="0" distL="114300" distR="114300" simplePos="0" relativeHeight="251659264" behindDoc="1" locked="0" layoutInCell="1" allowOverlap="1" wp14:anchorId="6F0380C4" wp14:editId="6DBBB69C">
            <wp:simplePos x="0" y="0"/>
            <wp:positionH relativeFrom="column">
              <wp:posOffset>5183505</wp:posOffset>
            </wp:positionH>
            <wp:positionV relativeFrom="paragraph">
              <wp:posOffset>8459470</wp:posOffset>
            </wp:positionV>
            <wp:extent cx="1080000" cy="1080000"/>
            <wp:effectExtent l="0" t="0" r="6350" b="6350"/>
            <wp:wrapNone/>
            <wp:docPr id="14" name="VCAT Seal2"/>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rsidRPr="00E701AB">
        <w:t>Permit granted</w:t>
      </w:r>
    </w:p>
    <w:p w14:paraId="68B78C04" w14:textId="77777777" w:rsidR="00057004" w:rsidRPr="00E701AB" w:rsidRDefault="00057004" w:rsidP="00157E31">
      <w:pPr>
        <w:pStyle w:val="Order2"/>
      </w:pPr>
      <w:r w:rsidRPr="00157E31">
        <w:t>In</w:t>
      </w:r>
      <w:r>
        <w:t xml:space="preserve"> </w:t>
      </w:r>
      <w:r w:rsidRPr="00E701AB">
        <w:t xml:space="preserve">application </w:t>
      </w:r>
      <w:r w:rsidR="00A24335" w:rsidRPr="00E701AB">
        <w:t xml:space="preserve">P448/2019 </w:t>
      </w:r>
      <w:r w:rsidRPr="00E701AB">
        <w:t>the decision of the responsible authority is set aside.</w:t>
      </w:r>
    </w:p>
    <w:p w14:paraId="6483737B" w14:textId="77777777" w:rsidR="00057004" w:rsidRDefault="00057004" w:rsidP="00517ECD">
      <w:pPr>
        <w:pStyle w:val="Order2"/>
      </w:pPr>
      <w:r>
        <w:t xml:space="preserve">In planning permit </w:t>
      </w:r>
      <w:r w:rsidRPr="00E701AB">
        <w:t xml:space="preserve">application </w:t>
      </w:r>
      <w:r w:rsidR="00A24335" w:rsidRPr="00E701AB">
        <w:t xml:space="preserve">TPA/48468/A </w:t>
      </w:r>
      <w:r w:rsidRPr="00E701AB">
        <w:t>a permit</w:t>
      </w:r>
      <w:r>
        <w:t xml:space="preserve"> is granted and directed to be issued for the land at </w:t>
      </w:r>
      <w:r w:rsidR="00A24335">
        <w:t xml:space="preserve">1/6 Dunoon Street, Mulgrave </w:t>
      </w:r>
      <w:r>
        <w:t>in accordance with the endorsed plans and the conditions set out in Appendix A.</w:t>
      </w:r>
      <w:r w:rsidR="000D08F7">
        <w:t xml:space="preserve"> </w:t>
      </w:r>
      <w:r>
        <w:t>The permit allows:</w:t>
      </w:r>
    </w:p>
    <w:p w14:paraId="21F22375" w14:textId="77777777" w:rsidR="00E701AB" w:rsidRPr="00290240" w:rsidRDefault="00E701AB" w:rsidP="00E701AB">
      <w:pPr>
        <w:pStyle w:val="Para5"/>
      </w:pPr>
      <w:r w:rsidRPr="00290240">
        <w:t>Extension of a dwelling on a lot less than 500 square metres</w:t>
      </w:r>
    </w:p>
    <w:p w14:paraId="6146F6F3" w14:textId="77777777" w:rsidR="00057004" w:rsidRDefault="00057004" w:rsidP="00057004"/>
    <w:p w14:paraId="7A7CB1FF" w14:textId="77777777" w:rsidR="00A24335" w:rsidRDefault="00A24335" w:rsidP="00057004"/>
    <w:p w14:paraId="1CC58F28" w14:textId="77777777" w:rsidR="00A202C9" w:rsidRDefault="00A202C9" w:rsidP="00057004"/>
    <w:p w14:paraId="6211AD66" w14:textId="77777777" w:rsidR="00EA0042" w:rsidRDefault="00EA0042" w:rsidP="00057004"/>
    <w:p w14:paraId="5B3600EA" w14:textId="77777777" w:rsidR="00A202C9" w:rsidRDefault="00A202C9" w:rsidP="00057004"/>
    <w:p w14:paraId="41CDE933" w14:textId="77777777" w:rsidR="00057004" w:rsidRDefault="00057004" w:rsidP="00057004"/>
    <w:tbl>
      <w:tblPr>
        <w:tblW w:w="5000" w:type="pct"/>
        <w:tblLook w:val="0000" w:firstRow="0" w:lastRow="0" w:firstColumn="0" w:lastColumn="0" w:noHBand="0" w:noVBand="0"/>
      </w:tblPr>
      <w:tblGrid>
        <w:gridCol w:w="3562"/>
        <w:gridCol w:w="1936"/>
        <w:gridCol w:w="3007"/>
      </w:tblGrid>
      <w:tr w:rsidR="00057004" w14:paraId="012A12F7" w14:textId="77777777" w:rsidTr="000D08F7">
        <w:tc>
          <w:tcPr>
            <w:tcW w:w="2094" w:type="pct"/>
          </w:tcPr>
          <w:p w14:paraId="13781B5A" w14:textId="77777777" w:rsidR="00A23D8A" w:rsidRDefault="00A23D8A" w:rsidP="000D08F7">
            <w:pPr>
              <w:tabs>
                <w:tab w:val="left" w:pos="1515"/>
              </w:tabs>
              <w:rPr>
                <w:b/>
              </w:rPr>
            </w:pPr>
            <w:bookmarkStart w:id="21" w:name="DELappearances"/>
            <w:r>
              <w:rPr>
                <w:b/>
              </w:rPr>
              <w:t>Graeme David</w:t>
            </w:r>
          </w:p>
          <w:p w14:paraId="01BE0CAA" w14:textId="77777777" w:rsidR="00057004" w:rsidRDefault="00057004" w:rsidP="000D08F7">
            <w:pPr>
              <w:tabs>
                <w:tab w:val="left" w:pos="1515"/>
              </w:tabs>
              <w:rPr>
                <w:b/>
              </w:rPr>
            </w:pPr>
            <w:r>
              <w:rPr>
                <w:b/>
              </w:rPr>
              <w:t>Member</w:t>
            </w:r>
          </w:p>
        </w:tc>
        <w:tc>
          <w:tcPr>
            <w:tcW w:w="1138" w:type="pct"/>
          </w:tcPr>
          <w:p w14:paraId="72F87560" w14:textId="77777777" w:rsidR="00057004" w:rsidRDefault="00057004" w:rsidP="000D08F7"/>
        </w:tc>
        <w:tc>
          <w:tcPr>
            <w:tcW w:w="1768" w:type="pct"/>
          </w:tcPr>
          <w:p w14:paraId="40BBD6BE" w14:textId="77777777" w:rsidR="00057004" w:rsidRDefault="00057004" w:rsidP="000D08F7"/>
        </w:tc>
      </w:tr>
    </w:tbl>
    <w:p w14:paraId="46263C56" w14:textId="77777777" w:rsidR="00057004" w:rsidRDefault="00057004" w:rsidP="00057004"/>
    <w:p w14:paraId="43E58855" w14:textId="77777777" w:rsidR="00A202C9" w:rsidRDefault="00A202C9" w:rsidP="00057004"/>
    <w:p w14:paraId="57AC090F" w14:textId="77777777" w:rsidR="00157E31" w:rsidRDefault="00157E31" w:rsidP="00057004"/>
    <w:p w14:paraId="7DE458AA" w14:textId="77777777" w:rsidR="00157E31" w:rsidRDefault="00157E31" w:rsidP="00057004"/>
    <w:bookmarkEnd w:id="21"/>
    <w:p w14:paraId="3C2A7841" w14:textId="77777777" w:rsidR="00057004" w:rsidRDefault="00057004" w:rsidP="00057004">
      <w:pPr>
        <w:pStyle w:val="Heading1"/>
        <w:rPr>
          <w:highlight w:val="yellow"/>
        </w:rPr>
      </w:pPr>
      <w:r>
        <w:t>Appearances</w:t>
      </w:r>
    </w:p>
    <w:tbl>
      <w:tblPr>
        <w:tblW w:w="5000" w:type="pct"/>
        <w:tblLook w:val="04A0" w:firstRow="1" w:lastRow="0" w:firstColumn="1" w:lastColumn="0" w:noHBand="0" w:noVBand="1"/>
      </w:tblPr>
      <w:tblGrid>
        <w:gridCol w:w="3120"/>
        <w:gridCol w:w="5385"/>
      </w:tblGrid>
      <w:tr w:rsidR="00057004" w14:paraId="251C6054" w14:textId="77777777" w:rsidTr="00A202C9">
        <w:trPr>
          <w:cantSplit/>
        </w:trPr>
        <w:tc>
          <w:tcPr>
            <w:tcW w:w="1834" w:type="pct"/>
            <w:hideMark/>
          </w:tcPr>
          <w:p w14:paraId="44543140" w14:textId="77777777" w:rsidR="00E16E80" w:rsidRPr="00E16E80" w:rsidRDefault="00057004" w:rsidP="00A202C9">
            <w:pPr>
              <w:pStyle w:val="TitlePagetext"/>
            </w:pPr>
            <w:r>
              <w:t xml:space="preserve">For </w:t>
            </w:r>
            <w:r w:rsidR="00623D1B">
              <w:t xml:space="preserve">Monash City Council </w:t>
            </w:r>
          </w:p>
        </w:tc>
        <w:tc>
          <w:tcPr>
            <w:tcW w:w="3166" w:type="pct"/>
          </w:tcPr>
          <w:p w14:paraId="6CF243B5" w14:textId="77777777" w:rsidR="00057004" w:rsidRPr="00623D1B" w:rsidRDefault="00623D1B" w:rsidP="000D08F7">
            <w:pPr>
              <w:pStyle w:val="TitlePagetext"/>
            </w:pPr>
            <w:r>
              <w:t>Mr James Turner, Town Planner</w:t>
            </w:r>
            <w:r w:rsidR="00A202C9">
              <w:t>.</w:t>
            </w:r>
          </w:p>
        </w:tc>
      </w:tr>
      <w:tr w:rsidR="00057004" w14:paraId="5ED9C30A" w14:textId="77777777" w:rsidTr="00A202C9">
        <w:trPr>
          <w:cantSplit/>
        </w:trPr>
        <w:tc>
          <w:tcPr>
            <w:tcW w:w="1834" w:type="pct"/>
            <w:hideMark/>
          </w:tcPr>
          <w:p w14:paraId="4CA84DCE" w14:textId="77777777" w:rsidR="00057004" w:rsidRDefault="00057004" w:rsidP="000D08F7">
            <w:pPr>
              <w:pStyle w:val="TitlePagetext"/>
            </w:pPr>
            <w:r>
              <w:t>For</w:t>
            </w:r>
            <w:r w:rsidR="00623D1B">
              <w:t xml:space="preserve"> Karl and Madeleine </w:t>
            </w:r>
            <w:bookmarkStart w:id="22" w:name="FORres"/>
            <w:bookmarkEnd w:id="22"/>
            <w:r w:rsidR="00623D1B">
              <w:t xml:space="preserve">Vezis </w:t>
            </w:r>
          </w:p>
        </w:tc>
        <w:tc>
          <w:tcPr>
            <w:tcW w:w="3166" w:type="pct"/>
          </w:tcPr>
          <w:p w14:paraId="6FBDC920" w14:textId="77777777" w:rsidR="00057004" w:rsidRPr="00623D1B" w:rsidRDefault="00623D1B" w:rsidP="000D08F7">
            <w:pPr>
              <w:pStyle w:val="TitlePagetext"/>
            </w:pPr>
            <w:bookmarkStart w:id="23" w:name="APPres"/>
            <w:bookmarkEnd w:id="23"/>
            <w:r w:rsidRPr="00623D1B">
              <w:t xml:space="preserve">Ms </w:t>
            </w:r>
            <w:r w:rsidR="00A202C9">
              <w:t>Eve-Marie</w:t>
            </w:r>
            <w:r w:rsidRPr="00623D1B">
              <w:t xml:space="preserve"> Davie Town Planner, Taylors Urban Development</w:t>
            </w:r>
            <w:r w:rsidR="000D08F7">
              <w:t xml:space="preserve"> </w:t>
            </w:r>
            <w:r w:rsidRPr="00623D1B">
              <w:t>and</w:t>
            </w:r>
            <w:r w:rsidR="000D08F7">
              <w:t xml:space="preserve"> </w:t>
            </w:r>
            <w:r w:rsidRPr="00623D1B">
              <w:t>Infrastructure</w:t>
            </w:r>
            <w:r w:rsidR="00A202C9">
              <w:t>.</w:t>
            </w:r>
            <w:r w:rsidR="000D08F7">
              <w:t xml:space="preserve"> </w:t>
            </w:r>
          </w:p>
        </w:tc>
      </w:tr>
    </w:tbl>
    <w:p w14:paraId="631C3E8E" w14:textId="77777777" w:rsidR="00A202C9" w:rsidRDefault="00A202C9" w:rsidP="00A202C9"/>
    <w:p w14:paraId="4D98CB51" w14:textId="77777777" w:rsidR="00A202C9" w:rsidRDefault="00A202C9" w:rsidP="00A202C9"/>
    <w:p w14:paraId="79BCB452" w14:textId="77777777" w:rsidR="00A202C9" w:rsidRDefault="00A202C9" w:rsidP="00A202C9"/>
    <w:p w14:paraId="575E9C15" w14:textId="77777777" w:rsidR="00A202C9" w:rsidRDefault="00A202C9" w:rsidP="00A202C9">
      <w:r>
        <w:br w:type="page"/>
      </w:r>
    </w:p>
    <w:p w14:paraId="6396B9DA" w14:textId="65372B30" w:rsidR="00057004" w:rsidRDefault="00A65F4D" w:rsidP="00057004">
      <w:pPr>
        <w:pStyle w:val="Heading1"/>
        <w:rPr>
          <w:highlight w:val="yellow"/>
        </w:rPr>
      </w:pPr>
      <w:r>
        <w:rPr>
          <w:noProof/>
          <w:lang w:eastAsia="en-AU"/>
        </w:rPr>
        <w:lastRenderedPageBreak/>
        <w:drawing>
          <wp:anchor distT="0" distB="0" distL="114300" distR="114300" simplePos="0" relativeHeight="251660288" behindDoc="1" locked="0" layoutInCell="1" allowOverlap="1" wp14:anchorId="1080CC5F" wp14:editId="628D3CED">
            <wp:simplePos x="0" y="0"/>
            <wp:positionH relativeFrom="column">
              <wp:posOffset>5183505</wp:posOffset>
            </wp:positionH>
            <wp:positionV relativeFrom="paragraph">
              <wp:posOffset>8459470</wp:posOffset>
            </wp:positionV>
            <wp:extent cx="1080000" cy="1080000"/>
            <wp:effectExtent l="0" t="0" r="6350" b="6350"/>
            <wp:wrapNone/>
            <wp:docPr id="15" name="VCAT Seal3"/>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Information</w:t>
      </w:r>
    </w:p>
    <w:tbl>
      <w:tblPr>
        <w:tblW w:w="5000" w:type="pct"/>
        <w:tblLook w:val="0000" w:firstRow="0" w:lastRow="0" w:firstColumn="0" w:lastColumn="0" w:noHBand="0" w:noVBand="0"/>
      </w:tblPr>
      <w:tblGrid>
        <w:gridCol w:w="3273"/>
        <w:gridCol w:w="5232"/>
      </w:tblGrid>
      <w:tr w:rsidR="00057004" w14:paraId="6B387BDF" w14:textId="77777777" w:rsidTr="000D08F7">
        <w:trPr>
          <w:cantSplit/>
        </w:trPr>
        <w:tc>
          <w:tcPr>
            <w:tcW w:w="1924" w:type="pct"/>
          </w:tcPr>
          <w:p w14:paraId="2864D370" w14:textId="77777777" w:rsidR="00057004" w:rsidRDefault="00057004" w:rsidP="000D08F7">
            <w:pPr>
              <w:pStyle w:val="TitlePagetext"/>
            </w:pPr>
            <w:r>
              <w:t>Description of proposal</w:t>
            </w:r>
          </w:p>
        </w:tc>
        <w:tc>
          <w:tcPr>
            <w:tcW w:w="3076" w:type="pct"/>
          </w:tcPr>
          <w:p w14:paraId="3F10311A" w14:textId="77777777" w:rsidR="00057004" w:rsidRPr="00851E10" w:rsidRDefault="00E16E80" w:rsidP="000D08F7">
            <w:pPr>
              <w:pStyle w:val="TitlePagetext"/>
            </w:pPr>
            <w:r>
              <w:t xml:space="preserve">Extension of a dwelling on a lot less than </w:t>
            </w:r>
            <w:r w:rsidR="007E3C2A">
              <w:t>3</w:t>
            </w:r>
            <w:r>
              <w:t>00</w:t>
            </w:r>
            <w:r w:rsidR="007235F8">
              <w:t>m</w:t>
            </w:r>
            <w:r w:rsidR="007235F8" w:rsidRPr="007235F8">
              <w:rPr>
                <w:vertAlign w:val="superscript"/>
              </w:rPr>
              <w:t>2</w:t>
            </w:r>
            <w:r>
              <w:t>.</w:t>
            </w:r>
          </w:p>
        </w:tc>
      </w:tr>
      <w:tr w:rsidR="00057004" w14:paraId="55C64491" w14:textId="77777777" w:rsidTr="000D08F7">
        <w:trPr>
          <w:cantSplit/>
        </w:trPr>
        <w:tc>
          <w:tcPr>
            <w:tcW w:w="1924" w:type="pct"/>
          </w:tcPr>
          <w:p w14:paraId="70F51A83" w14:textId="77777777" w:rsidR="00057004" w:rsidRDefault="00057004" w:rsidP="000D08F7">
            <w:pPr>
              <w:pStyle w:val="TitlePagetext"/>
            </w:pPr>
            <w:r>
              <w:t>Nature of proceeding</w:t>
            </w:r>
          </w:p>
        </w:tc>
        <w:tc>
          <w:tcPr>
            <w:tcW w:w="3076" w:type="pct"/>
          </w:tcPr>
          <w:p w14:paraId="06070137" w14:textId="77777777" w:rsidR="00057004" w:rsidRPr="00851E10" w:rsidRDefault="00057004" w:rsidP="00A23D8A">
            <w:pPr>
              <w:pStyle w:val="TitlePagetext"/>
            </w:pPr>
            <w:r>
              <w:t xml:space="preserve">Application under section 77 of the </w:t>
            </w:r>
            <w:r>
              <w:rPr>
                <w:i/>
              </w:rPr>
              <w:t>Planning and Environment Act 1987</w:t>
            </w:r>
            <w:r>
              <w:t xml:space="preserve"> – to review the refusal to grant a permit. </w:t>
            </w:r>
          </w:p>
        </w:tc>
      </w:tr>
      <w:tr w:rsidR="00057004" w14:paraId="636DD11E" w14:textId="77777777" w:rsidTr="000D08F7">
        <w:trPr>
          <w:cantSplit/>
        </w:trPr>
        <w:tc>
          <w:tcPr>
            <w:tcW w:w="1924" w:type="pct"/>
          </w:tcPr>
          <w:p w14:paraId="3241413F" w14:textId="77777777" w:rsidR="00057004" w:rsidRPr="005C699E" w:rsidRDefault="00057004" w:rsidP="000D08F7">
            <w:pPr>
              <w:pStyle w:val="TitlePagetext"/>
            </w:pPr>
            <w:r>
              <w:t>Planning scheme</w:t>
            </w:r>
          </w:p>
        </w:tc>
        <w:tc>
          <w:tcPr>
            <w:tcW w:w="3076" w:type="pct"/>
          </w:tcPr>
          <w:p w14:paraId="0C70EE2C" w14:textId="77777777" w:rsidR="00057004" w:rsidRPr="00851E10" w:rsidRDefault="00E16E80" w:rsidP="000D08F7">
            <w:pPr>
              <w:pStyle w:val="TitlePagetext"/>
            </w:pPr>
            <w:r>
              <w:t>Monash</w:t>
            </w:r>
            <w:r w:rsidR="00A24335">
              <w:t>.</w:t>
            </w:r>
          </w:p>
        </w:tc>
      </w:tr>
      <w:tr w:rsidR="00057004" w14:paraId="3405AD49" w14:textId="77777777" w:rsidTr="000D08F7">
        <w:trPr>
          <w:cantSplit/>
        </w:trPr>
        <w:tc>
          <w:tcPr>
            <w:tcW w:w="1924" w:type="pct"/>
          </w:tcPr>
          <w:p w14:paraId="06FC6284" w14:textId="77777777" w:rsidR="00057004" w:rsidRDefault="00057004" w:rsidP="000D08F7">
            <w:pPr>
              <w:pStyle w:val="TitlePagetext"/>
            </w:pPr>
            <w:r w:rsidRPr="005C699E">
              <w:t xml:space="preserve">Zone and </w:t>
            </w:r>
            <w:r>
              <w:t>o</w:t>
            </w:r>
            <w:r w:rsidRPr="005C699E">
              <w:t>verlays</w:t>
            </w:r>
          </w:p>
        </w:tc>
        <w:tc>
          <w:tcPr>
            <w:tcW w:w="3076" w:type="pct"/>
          </w:tcPr>
          <w:p w14:paraId="1B5C03AC" w14:textId="77777777" w:rsidR="00057004" w:rsidRPr="00851E10" w:rsidRDefault="00A23D8A" w:rsidP="000D08F7">
            <w:pPr>
              <w:pStyle w:val="TitlePagetext"/>
            </w:pPr>
            <w:r>
              <w:t xml:space="preserve">General Residential Zone - Schedule </w:t>
            </w:r>
            <w:r w:rsidR="00E16E80">
              <w:t>2</w:t>
            </w:r>
            <w:r>
              <w:t xml:space="preserve"> (GRZ</w:t>
            </w:r>
            <w:r w:rsidR="00E16E80">
              <w:t xml:space="preserve">2 - </w:t>
            </w:r>
            <w:r w:rsidR="00E16E80" w:rsidRPr="00623D1B">
              <w:rPr>
                <w:i/>
              </w:rPr>
              <w:t>Monash Residential Areas</w:t>
            </w:r>
            <w:r>
              <w:t>)</w:t>
            </w:r>
            <w:r w:rsidR="00A24335">
              <w:t>.</w:t>
            </w:r>
          </w:p>
        </w:tc>
      </w:tr>
      <w:tr w:rsidR="00057004" w14:paraId="14F9AD0E" w14:textId="77777777" w:rsidTr="000D08F7">
        <w:trPr>
          <w:cantSplit/>
        </w:trPr>
        <w:tc>
          <w:tcPr>
            <w:tcW w:w="1924" w:type="pct"/>
          </w:tcPr>
          <w:p w14:paraId="58D58E27" w14:textId="77777777" w:rsidR="00057004" w:rsidRPr="005C699E" w:rsidRDefault="00057004" w:rsidP="000D08F7">
            <w:pPr>
              <w:pStyle w:val="TitlePagetext"/>
            </w:pPr>
            <w:r>
              <w:t>Permit requirements</w:t>
            </w:r>
          </w:p>
        </w:tc>
        <w:tc>
          <w:tcPr>
            <w:tcW w:w="3076" w:type="pct"/>
          </w:tcPr>
          <w:p w14:paraId="13BB56B2" w14:textId="77777777" w:rsidR="00057004" w:rsidRPr="00851E10" w:rsidRDefault="00E90B8F" w:rsidP="000D08F7">
            <w:pPr>
              <w:pStyle w:val="TitlePagetext"/>
            </w:pPr>
            <w:r w:rsidRPr="00E90B8F">
              <w:t xml:space="preserve">Clause 32.08-5: To </w:t>
            </w:r>
            <w:r>
              <w:t xml:space="preserve">construct or extend one dwelling on a lot of less than </w:t>
            </w:r>
            <w:r w:rsidRPr="00C43757">
              <w:t>300m</w:t>
            </w:r>
            <w:r w:rsidRPr="00C43757">
              <w:rPr>
                <w:vertAlign w:val="superscript"/>
              </w:rPr>
              <w:t>2</w:t>
            </w:r>
          </w:p>
        </w:tc>
      </w:tr>
      <w:tr w:rsidR="00057004" w14:paraId="0C465086" w14:textId="77777777" w:rsidTr="000D08F7">
        <w:trPr>
          <w:cantSplit/>
        </w:trPr>
        <w:tc>
          <w:tcPr>
            <w:tcW w:w="1924" w:type="pct"/>
          </w:tcPr>
          <w:p w14:paraId="4970A304" w14:textId="77777777" w:rsidR="00057004" w:rsidRDefault="00057004" w:rsidP="000D08F7">
            <w:pPr>
              <w:pStyle w:val="TitlePagetext"/>
            </w:pPr>
            <w:r>
              <w:t>Relevant scheme policies and provisions</w:t>
            </w:r>
          </w:p>
        </w:tc>
        <w:tc>
          <w:tcPr>
            <w:tcW w:w="3076" w:type="pct"/>
          </w:tcPr>
          <w:p w14:paraId="012A9B63" w14:textId="77777777" w:rsidR="00416F3A" w:rsidRDefault="00416F3A" w:rsidP="000D08F7">
            <w:pPr>
              <w:pStyle w:val="TitlePagetext"/>
            </w:pPr>
            <w:r w:rsidRPr="00A706D5">
              <w:t>Clause</w:t>
            </w:r>
            <w:r>
              <w:t>s</w:t>
            </w:r>
            <w:r w:rsidRPr="00A706D5">
              <w:t xml:space="preserve"> 15.01-1S </w:t>
            </w:r>
            <w:r w:rsidRPr="00416F3A">
              <w:rPr>
                <w:i/>
              </w:rPr>
              <w:t>Urban Design</w:t>
            </w:r>
            <w:r>
              <w:rPr>
                <w:i/>
              </w:rPr>
              <w:t xml:space="preserve">. </w:t>
            </w:r>
            <w:r w:rsidRPr="00A706D5">
              <w:t xml:space="preserve">15.01-2S </w:t>
            </w:r>
            <w:r w:rsidRPr="00416F3A">
              <w:rPr>
                <w:i/>
              </w:rPr>
              <w:t>Building Design</w:t>
            </w:r>
            <w:r>
              <w:rPr>
                <w:i/>
              </w:rPr>
              <w:t xml:space="preserve">, </w:t>
            </w:r>
            <w:r w:rsidRPr="00A706D5">
              <w:t>15.01-5S</w:t>
            </w:r>
            <w:r>
              <w:t xml:space="preserve"> </w:t>
            </w:r>
            <w:r w:rsidRPr="00416F3A">
              <w:rPr>
                <w:i/>
              </w:rPr>
              <w:t>Neighbourhood Character</w:t>
            </w:r>
            <w:r>
              <w:rPr>
                <w:i/>
              </w:rPr>
              <w:t xml:space="preserve">, </w:t>
            </w:r>
            <w:r>
              <w:t xml:space="preserve">16.01-2S </w:t>
            </w:r>
            <w:r w:rsidRPr="00416F3A">
              <w:rPr>
                <w:i/>
              </w:rPr>
              <w:t xml:space="preserve">Location of </w:t>
            </w:r>
            <w:r>
              <w:rPr>
                <w:i/>
              </w:rPr>
              <w:t>R</w:t>
            </w:r>
            <w:r w:rsidRPr="00416F3A">
              <w:rPr>
                <w:i/>
              </w:rPr>
              <w:t xml:space="preserve">esidential </w:t>
            </w:r>
            <w:r>
              <w:rPr>
                <w:i/>
              </w:rPr>
              <w:t>D</w:t>
            </w:r>
            <w:r w:rsidRPr="00416F3A">
              <w:rPr>
                <w:i/>
              </w:rPr>
              <w:t>evelopment</w:t>
            </w:r>
            <w:r>
              <w:rPr>
                <w:i/>
              </w:rPr>
              <w:t>.</w:t>
            </w:r>
          </w:p>
          <w:p w14:paraId="5A97CAA7" w14:textId="77777777" w:rsidR="00057004" w:rsidRPr="00851E10" w:rsidRDefault="0003220B" w:rsidP="000D08F7">
            <w:pPr>
              <w:pStyle w:val="TitlePagetext"/>
            </w:pPr>
            <w:r>
              <w:t>Clause 22.01</w:t>
            </w:r>
            <w:r w:rsidR="00416F3A">
              <w:t xml:space="preserve"> </w:t>
            </w:r>
            <w:r w:rsidR="00416F3A" w:rsidRPr="00416F3A">
              <w:rPr>
                <w:i/>
              </w:rPr>
              <w:t xml:space="preserve">Residential </w:t>
            </w:r>
            <w:r w:rsidR="00416F3A">
              <w:rPr>
                <w:i/>
              </w:rPr>
              <w:t>D</w:t>
            </w:r>
            <w:r w:rsidR="00416F3A" w:rsidRPr="00416F3A">
              <w:rPr>
                <w:i/>
              </w:rPr>
              <w:t xml:space="preserve">evelopment and </w:t>
            </w:r>
            <w:r w:rsidR="00416F3A">
              <w:rPr>
                <w:i/>
              </w:rPr>
              <w:t>C</w:t>
            </w:r>
            <w:r w:rsidR="00416F3A" w:rsidRPr="00416F3A">
              <w:rPr>
                <w:i/>
              </w:rPr>
              <w:t xml:space="preserve">haracter </w:t>
            </w:r>
            <w:r w:rsidR="00416F3A">
              <w:rPr>
                <w:i/>
              </w:rPr>
              <w:t>P</w:t>
            </w:r>
            <w:r w:rsidR="00416F3A" w:rsidRPr="00416F3A">
              <w:rPr>
                <w:i/>
              </w:rPr>
              <w:t>olicy</w:t>
            </w:r>
          </w:p>
        </w:tc>
      </w:tr>
      <w:tr w:rsidR="00057004" w14:paraId="317BF755" w14:textId="77777777" w:rsidTr="000D08F7">
        <w:trPr>
          <w:cantSplit/>
        </w:trPr>
        <w:tc>
          <w:tcPr>
            <w:tcW w:w="1924" w:type="pct"/>
          </w:tcPr>
          <w:p w14:paraId="008BDA2F" w14:textId="77777777" w:rsidR="00057004" w:rsidRDefault="00057004" w:rsidP="000D08F7">
            <w:pPr>
              <w:pStyle w:val="TitlePagetext"/>
            </w:pPr>
            <w:r>
              <w:t>Land description</w:t>
            </w:r>
          </w:p>
        </w:tc>
        <w:tc>
          <w:tcPr>
            <w:tcW w:w="3076" w:type="pct"/>
          </w:tcPr>
          <w:p w14:paraId="103DE4B7" w14:textId="77777777" w:rsidR="00057004" w:rsidRPr="00851E10" w:rsidRDefault="00E90B8F" w:rsidP="00EE19D8">
            <w:pPr>
              <w:pStyle w:val="TitlePagetext"/>
            </w:pPr>
            <w:r>
              <w:t xml:space="preserve">The review site is on flat land fronting the eastern side of Dunoon Street about 50m </w:t>
            </w:r>
            <w:r w:rsidR="00EE19D8">
              <w:t xml:space="preserve">north of </w:t>
            </w:r>
            <w:r>
              <w:t>Police Road</w:t>
            </w:r>
            <w:r w:rsidR="00EE19D8">
              <w:t xml:space="preserve">. </w:t>
            </w:r>
            <w:r>
              <w:t xml:space="preserve">The </w:t>
            </w:r>
            <w:r w:rsidR="00EE19D8">
              <w:t xml:space="preserve">parent </w:t>
            </w:r>
            <w:r>
              <w:t xml:space="preserve">site contains two single-storey, separately titled brick dwellings with tiled roofs, and a common driveway. The review dwelling is </w:t>
            </w:r>
            <w:r w:rsidR="007E3C2A">
              <w:t xml:space="preserve">on </w:t>
            </w:r>
            <w:r>
              <w:t xml:space="preserve">the front (west) </w:t>
            </w:r>
            <w:r w:rsidR="007E3C2A">
              <w:t xml:space="preserve">discrete </w:t>
            </w:r>
            <w:r w:rsidR="00EE19D8">
              <w:t>title at the front of the property</w:t>
            </w:r>
            <w:r>
              <w:t>. It is</w:t>
            </w:r>
            <w:r w:rsidR="00EE19D8">
              <w:t xml:space="preserve"> single-storey brick veneer </w:t>
            </w:r>
            <w:r>
              <w:t>dwelling with flat roofed verandah at its front setback 5.9m from the front boundary. The main portion of the dwelling is setback 7.8m.</w:t>
            </w:r>
            <w:r w:rsidR="00EE19D8">
              <w:t xml:space="preserve"> A </w:t>
            </w:r>
            <w:r w:rsidR="007E3C2A">
              <w:t xml:space="preserve">common driveway is </w:t>
            </w:r>
            <w:r w:rsidR="00EE19D8">
              <w:t>on the north side of the dwelling.</w:t>
            </w:r>
          </w:p>
        </w:tc>
      </w:tr>
      <w:tr w:rsidR="00057004" w14:paraId="66C1FEC3" w14:textId="77777777" w:rsidTr="000D08F7">
        <w:trPr>
          <w:cantSplit/>
        </w:trPr>
        <w:tc>
          <w:tcPr>
            <w:tcW w:w="1924" w:type="pct"/>
          </w:tcPr>
          <w:p w14:paraId="7BCC355B" w14:textId="77777777" w:rsidR="00057004" w:rsidRDefault="00057004" w:rsidP="000D08F7">
            <w:pPr>
              <w:pStyle w:val="TitlePagetext"/>
            </w:pPr>
            <w:r>
              <w:t>Tribunal inspection</w:t>
            </w:r>
          </w:p>
        </w:tc>
        <w:tc>
          <w:tcPr>
            <w:tcW w:w="3076" w:type="pct"/>
          </w:tcPr>
          <w:p w14:paraId="6427D277" w14:textId="77777777" w:rsidR="00057004" w:rsidRPr="00851E10" w:rsidRDefault="00EE19D8" w:rsidP="000D08F7">
            <w:pPr>
              <w:pStyle w:val="TitlePagetext"/>
            </w:pPr>
            <w:r>
              <w:t xml:space="preserve">23 August 2019. Unaccompanied. </w:t>
            </w:r>
            <w:r w:rsidR="007E3C2A">
              <w:t xml:space="preserve">(Admitted onto property by owner.) </w:t>
            </w:r>
          </w:p>
        </w:tc>
      </w:tr>
    </w:tbl>
    <w:p w14:paraId="3B576F62" w14:textId="77777777" w:rsidR="00057004" w:rsidRDefault="00057004" w:rsidP="00057004">
      <w:pPr>
        <w:pStyle w:val="Order1"/>
      </w:pPr>
    </w:p>
    <w:p w14:paraId="2458D5B3" w14:textId="77777777" w:rsidR="00A202C9" w:rsidRDefault="00A202C9" w:rsidP="00057004">
      <w:pPr>
        <w:pStyle w:val="Order1"/>
      </w:pPr>
    </w:p>
    <w:p w14:paraId="7F0AF85C" w14:textId="15A957E0" w:rsidR="00057004" w:rsidRDefault="00A65F4D" w:rsidP="00057004">
      <w:pPr>
        <w:pStyle w:val="Heading1"/>
      </w:pPr>
      <w:r>
        <w:rPr>
          <w:noProof/>
          <w:lang w:eastAsia="en-AU"/>
        </w:rPr>
        <w:lastRenderedPageBreak/>
        <w:drawing>
          <wp:anchor distT="0" distB="0" distL="114300" distR="114300" simplePos="0" relativeHeight="251661312" behindDoc="1" locked="0" layoutInCell="1" allowOverlap="1" wp14:anchorId="1C9CFBBA" wp14:editId="3998670F">
            <wp:simplePos x="0" y="0"/>
            <wp:positionH relativeFrom="column">
              <wp:posOffset>5183505</wp:posOffset>
            </wp:positionH>
            <wp:positionV relativeFrom="paragraph">
              <wp:posOffset>8459470</wp:posOffset>
            </wp:positionV>
            <wp:extent cx="1080000" cy="1080000"/>
            <wp:effectExtent l="0" t="0" r="6350" b="6350"/>
            <wp:wrapNone/>
            <wp:docPr id="16" name="VCAT Seal4"/>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Reasons</w:t>
      </w:r>
      <w:r w:rsidR="00057004">
        <w:rPr>
          <w:rStyle w:val="FootnoteReference"/>
        </w:rPr>
        <w:footnoteReference w:id="1"/>
      </w:r>
    </w:p>
    <w:p w14:paraId="62E6D46F" w14:textId="77777777" w:rsidR="00057004" w:rsidRDefault="00057004" w:rsidP="00057004">
      <w:pPr>
        <w:pStyle w:val="Heading2"/>
      </w:pPr>
      <w:r>
        <w:t xml:space="preserve">What is this </w:t>
      </w:r>
      <w:r w:rsidRPr="004413F4">
        <w:t>proceeding</w:t>
      </w:r>
      <w:r>
        <w:t xml:space="preserve"> about?</w:t>
      </w:r>
    </w:p>
    <w:p w14:paraId="4C709FA2" w14:textId="77777777" w:rsidR="00872BD7" w:rsidRDefault="00623D1B" w:rsidP="000D08F7">
      <w:pPr>
        <w:pStyle w:val="Para1"/>
      </w:pPr>
      <w:r>
        <w:t xml:space="preserve">This is an Application by Karl and Madeleine Vezis (the Applicant) for Review under Section 77 of the </w:t>
      </w:r>
      <w:r w:rsidRPr="00872BD7">
        <w:rPr>
          <w:i/>
        </w:rPr>
        <w:t>Planning and Environment Act 1987</w:t>
      </w:r>
      <w:r>
        <w:t xml:space="preserve"> (the Act) </w:t>
      </w:r>
      <w:r w:rsidRPr="00872BD7">
        <w:t xml:space="preserve">against the Council’s decision to refuse an application to amend a permit </w:t>
      </w:r>
      <w:r w:rsidR="00EE19D8">
        <w:t xml:space="preserve">to extend </w:t>
      </w:r>
      <w:r w:rsidRPr="00872BD7">
        <w:t xml:space="preserve">a dwelling on a lot less than </w:t>
      </w:r>
      <w:r w:rsidR="0060035B">
        <w:t>5</w:t>
      </w:r>
      <w:r w:rsidRPr="00872BD7">
        <w:t>00m</w:t>
      </w:r>
      <w:r w:rsidR="007E3C2A" w:rsidRPr="007E3C2A">
        <w:rPr>
          <w:vertAlign w:val="superscript"/>
        </w:rPr>
        <w:t>2</w:t>
      </w:r>
      <w:r w:rsidR="00872BD7" w:rsidRPr="00872BD7">
        <w:t xml:space="preserve"> </w:t>
      </w:r>
      <w:r w:rsidR="000F7FA5" w:rsidRPr="00872BD7">
        <w:t>at 1/6 Dunoon Street Mulgrave</w:t>
      </w:r>
      <w:r w:rsidR="000F7FA5">
        <w:t>,</w:t>
      </w:r>
      <w:r w:rsidR="000F7FA5" w:rsidRPr="00872BD7">
        <w:t xml:space="preserve"> </w:t>
      </w:r>
      <w:r w:rsidR="00872BD7" w:rsidRPr="00872BD7">
        <w:t xml:space="preserve">by reducing the </w:t>
      </w:r>
      <w:r w:rsidR="00EE19D8">
        <w:t xml:space="preserve">(permitted but un-activated) </w:t>
      </w:r>
      <w:r w:rsidRPr="00872BD7">
        <w:t xml:space="preserve">front setback of the </w:t>
      </w:r>
      <w:r w:rsidRPr="00627C2C">
        <w:t xml:space="preserve">dwelling </w:t>
      </w:r>
      <w:r w:rsidR="00872BD7" w:rsidRPr="00627C2C">
        <w:t xml:space="preserve">by 0.5m </w:t>
      </w:r>
      <w:r w:rsidR="00EE19D8" w:rsidRPr="00627C2C">
        <w:t xml:space="preserve">from 6.4m </w:t>
      </w:r>
      <w:r w:rsidR="00872BD7" w:rsidRPr="00627C2C">
        <w:t>t</w:t>
      </w:r>
      <w:r w:rsidRPr="00627C2C">
        <w:t>o 5.9m</w:t>
      </w:r>
      <w:r w:rsidR="00EE19D8" w:rsidRPr="00627C2C">
        <w:t>.</w:t>
      </w:r>
      <w:r w:rsidRPr="00627C2C">
        <w:t xml:space="preserve"> </w:t>
      </w:r>
      <w:r w:rsidR="00110F95" w:rsidRPr="00627C2C">
        <w:t>Extension</w:t>
      </w:r>
      <w:r w:rsidR="00110F95">
        <w:t xml:space="preserve"> </w:t>
      </w:r>
      <w:r w:rsidR="00627C2C">
        <w:t xml:space="preserve">forward </w:t>
      </w:r>
      <w:r w:rsidR="00110F95">
        <w:t xml:space="preserve">to 6.4m </w:t>
      </w:r>
      <w:r w:rsidR="00627C2C">
        <w:t xml:space="preserve">from the current 7.9m setback </w:t>
      </w:r>
      <w:r w:rsidR="00415FF4">
        <w:t xml:space="preserve">of the dwelling proper </w:t>
      </w:r>
      <w:r w:rsidR="00110F95">
        <w:t xml:space="preserve">is currently approved under Planning Permit </w:t>
      </w:r>
      <w:r w:rsidR="00B45BA5" w:rsidRPr="00B72198">
        <w:t>TPA/48468</w:t>
      </w:r>
      <w:r w:rsidR="00B45BA5">
        <w:t xml:space="preserve"> </w:t>
      </w:r>
      <w:r w:rsidR="00110F95">
        <w:t xml:space="preserve">issued by the Council in </w:t>
      </w:r>
      <w:r w:rsidR="00B72198">
        <w:t>August 2018</w:t>
      </w:r>
      <w:r w:rsidR="00110F95">
        <w:t>.</w:t>
      </w:r>
    </w:p>
    <w:p w14:paraId="17A8E69E" w14:textId="77777777" w:rsidR="00D44998" w:rsidRDefault="00D04E99" w:rsidP="000D08F7">
      <w:pPr>
        <w:pStyle w:val="Para1"/>
      </w:pPr>
      <w:r>
        <w:t xml:space="preserve">The review site is within the General Residential Zone - Schedule 2 (GRZ2 </w:t>
      </w:r>
      <w:r w:rsidRPr="00CF5D0D">
        <w:rPr>
          <w:i/>
        </w:rPr>
        <w:t>Monash Residential Areas</w:t>
      </w:r>
      <w:r>
        <w:t>)</w:t>
      </w:r>
      <w:r w:rsidR="00CF5D0D">
        <w:rPr>
          <w:rStyle w:val="FootnoteReference"/>
        </w:rPr>
        <w:footnoteReference w:id="2"/>
      </w:r>
      <w:r w:rsidR="00CF5D0D">
        <w:t>.</w:t>
      </w:r>
      <w:r w:rsidR="00EA0042">
        <w:t xml:space="preserve"> </w:t>
      </w:r>
      <w:r w:rsidR="00D44998">
        <w:t xml:space="preserve">It is also within the Monash </w:t>
      </w:r>
      <w:r w:rsidR="00D44998" w:rsidRPr="00D44998">
        <w:rPr>
          <w:i/>
        </w:rPr>
        <w:t xml:space="preserve">Residential Character Area B: </w:t>
      </w:r>
      <w:r w:rsidR="00D44998" w:rsidRPr="00D44998">
        <w:rPr>
          <w:i/>
          <w:shd w:val="clear" w:color="auto" w:fill="FFFFFF"/>
        </w:rPr>
        <w:t>Clayton area, 1945-1965 development</w:t>
      </w:r>
      <w:r w:rsidR="00D44998" w:rsidRPr="006362A2">
        <w:t>.</w:t>
      </w:r>
      <w:r w:rsidR="00D44998">
        <w:t xml:space="preserve"> The character statement </w:t>
      </w:r>
      <w:r w:rsidR="00415FF4">
        <w:t xml:space="preserve">for </w:t>
      </w:r>
      <w:r w:rsidR="00415FF4" w:rsidRPr="0060035B">
        <w:rPr>
          <w:i/>
        </w:rPr>
        <w:t>Area</w:t>
      </w:r>
      <w:r w:rsidR="00415FF4">
        <w:rPr>
          <w:i/>
        </w:rPr>
        <w:t xml:space="preserve"> B</w:t>
      </w:r>
      <w:r w:rsidR="00415FF4">
        <w:t xml:space="preserve"> </w:t>
      </w:r>
      <w:r w:rsidR="00D44998">
        <w:t xml:space="preserve">in part states the following: </w:t>
      </w:r>
    </w:p>
    <w:p w14:paraId="45A3E9EE" w14:textId="77777777" w:rsidR="00D44998" w:rsidRDefault="003134EE" w:rsidP="003134EE">
      <w:pPr>
        <w:pStyle w:val="Quote1"/>
      </w:pPr>
      <w:r>
        <w:t>The area is (mainly) characterised by the evenly distributed mix of consistently setback post-War single</w:t>
      </w:r>
      <w:r w:rsidR="0060035B">
        <w:t>-</w:t>
      </w:r>
      <w:r>
        <w:t xml:space="preserve">storey weatherboard and brick houses of a common, functional architectural style. In many streets houses are arranged in groups of one type of material. </w:t>
      </w:r>
    </w:p>
    <w:p w14:paraId="3C522195" w14:textId="77777777" w:rsidR="00D00E32" w:rsidRDefault="00D00E32" w:rsidP="00D00E32">
      <w:pPr>
        <w:pStyle w:val="Para2"/>
      </w:pPr>
      <w:r>
        <w:t xml:space="preserve">It also includes </w:t>
      </w:r>
      <w:r w:rsidR="00415FF4">
        <w:t xml:space="preserve">in part </w:t>
      </w:r>
      <w:r>
        <w:t xml:space="preserve">that the </w:t>
      </w:r>
      <w:r w:rsidRPr="0060035B">
        <w:rPr>
          <w:i/>
        </w:rPr>
        <w:t>Area</w:t>
      </w:r>
      <w:r>
        <w:t xml:space="preserve"> is characterised by </w:t>
      </w:r>
      <w:r w:rsidRPr="005839BC">
        <w:t>flat topography and a grid subdivision pattern.</w:t>
      </w:r>
    </w:p>
    <w:p w14:paraId="35DF2DF7" w14:textId="77777777" w:rsidR="00207813" w:rsidRDefault="00D00E32" w:rsidP="00207813">
      <w:pPr>
        <w:pStyle w:val="Para1"/>
      </w:pPr>
      <w:r>
        <w:t xml:space="preserve">The </w:t>
      </w:r>
      <w:r w:rsidR="00207813" w:rsidRPr="00FB0253">
        <w:t>Council refus</w:t>
      </w:r>
      <w:r w:rsidR="00110F95">
        <w:t xml:space="preserve">ed the permit amendment application </w:t>
      </w:r>
      <w:r w:rsidR="00207813" w:rsidRPr="00FB0253">
        <w:t xml:space="preserve">on the sole ground that: </w:t>
      </w:r>
    </w:p>
    <w:p w14:paraId="4DF33898" w14:textId="77777777" w:rsidR="00207813" w:rsidRPr="00FB0253" w:rsidRDefault="00207813" w:rsidP="00207813">
      <w:pPr>
        <w:pStyle w:val="Quote1"/>
      </w:pPr>
      <w:r w:rsidRPr="00FB0253">
        <w:t xml:space="preserve">The proposal fails to meet the policies of Clause 22.01 of the Monash </w:t>
      </w:r>
      <w:r>
        <w:t>P</w:t>
      </w:r>
      <w:r w:rsidRPr="00FB0253">
        <w:t>lanning Scheme in regard to its adverse impact on the streetscape and general neighbourhood character.</w:t>
      </w:r>
    </w:p>
    <w:p w14:paraId="06CEED39" w14:textId="77777777" w:rsidR="00415FF4" w:rsidRDefault="00D44998" w:rsidP="003134EE">
      <w:pPr>
        <w:pStyle w:val="Para1"/>
      </w:pPr>
      <w:r>
        <w:t xml:space="preserve">The </w:t>
      </w:r>
      <w:r w:rsidR="003134EE">
        <w:t xml:space="preserve">Dunoon Street neighbourhood contains </w:t>
      </w:r>
      <w:r w:rsidR="006362A2" w:rsidRPr="006362A2">
        <w:t xml:space="preserve">a mix of original single-storey detached dwellings and more recent double-storey multi-unit developments </w:t>
      </w:r>
      <w:r w:rsidR="00110F95">
        <w:t xml:space="preserve">dating from the </w:t>
      </w:r>
      <w:r w:rsidR="006362A2" w:rsidRPr="006362A2">
        <w:t xml:space="preserve">1990’s </w:t>
      </w:r>
      <w:r w:rsidR="00110F95">
        <w:t xml:space="preserve">through </w:t>
      </w:r>
      <w:r w:rsidR="006362A2" w:rsidRPr="006362A2">
        <w:t>to</w:t>
      </w:r>
      <w:r w:rsidR="006362A2">
        <w:t xml:space="preserve"> now</w:t>
      </w:r>
      <w:r w:rsidR="006362A2" w:rsidRPr="006362A2">
        <w:t>.</w:t>
      </w:r>
      <w:r w:rsidR="006362A2">
        <w:t xml:space="preserve"> </w:t>
      </w:r>
      <w:r w:rsidR="0060035B">
        <w:t xml:space="preserve">Dunoon </w:t>
      </w:r>
      <w:r w:rsidR="003134EE">
        <w:t xml:space="preserve">Street </w:t>
      </w:r>
      <w:r w:rsidR="006362A2">
        <w:t>is a small street b</w:t>
      </w:r>
      <w:r w:rsidR="00DE71CB">
        <w:t xml:space="preserve">etween Studley Street </w:t>
      </w:r>
      <w:r w:rsidR="00110F95">
        <w:t xml:space="preserve">about 100m </w:t>
      </w:r>
      <w:r w:rsidR="00DE71CB">
        <w:t>to the north</w:t>
      </w:r>
      <w:r w:rsidR="00110F95">
        <w:t>,</w:t>
      </w:r>
      <w:r w:rsidR="00DE71CB">
        <w:t xml:space="preserve"> and </w:t>
      </w:r>
      <w:r w:rsidR="00B72198">
        <w:t xml:space="preserve">the main east-west </w:t>
      </w:r>
      <w:r w:rsidR="00DE71CB">
        <w:t>Police Road</w:t>
      </w:r>
      <w:r w:rsidR="00110F95">
        <w:t xml:space="preserve"> about 50m </w:t>
      </w:r>
      <w:r w:rsidR="00DE71CB">
        <w:t xml:space="preserve">to the south. </w:t>
      </w:r>
      <w:r w:rsidR="006362A2">
        <w:t>O</w:t>
      </w:r>
      <w:r w:rsidR="00DE71CB">
        <w:t xml:space="preserve">nly three </w:t>
      </w:r>
      <w:r w:rsidR="00B72198">
        <w:t xml:space="preserve">residential </w:t>
      </w:r>
      <w:r w:rsidR="00DE71CB">
        <w:t xml:space="preserve">properties </w:t>
      </w:r>
      <w:r w:rsidR="00FE7AE5">
        <w:t xml:space="preserve">historically </w:t>
      </w:r>
      <w:r w:rsidR="00DE71CB">
        <w:t xml:space="preserve">front onto </w:t>
      </w:r>
      <w:r w:rsidR="006362A2">
        <w:t>the street</w:t>
      </w:r>
      <w:r w:rsidR="00DE71CB">
        <w:t>, being the review site and two sites to its north</w:t>
      </w:r>
      <w:r w:rsidR="00110F95">
        <w:t xml:space="preserve"> at </w:t>
      </w:r>
      <w:r w:rsidR="00B72198">
        <w:t xml:space="preserve">numbers </w:t>
      </w:r>
      <w:r w:rsidR="00110F95">
        <w:t>2 and 4 Dunoon Street</w:t>
      </w:r>
      <w:r w:rsidR="00DE71CB">
        <w:t xml:space="preserve">. </w:t>
      </w:r>
    </w:p>
    <w:p w14:paraId="4B6F5A8E" w14:textId="77777777" w:rsidR="00DE71CB" w:rsidRDefault="007D4179" w:rsidP="003134EE">
      <w:pPr>
        <w:pStyle w:val="Para1"/>
      </w:pPr>
      <w:r>
        <w:t xml:space="preserve">The </w:t>
      </w:r>
      <w:r w:rsidR="00DE71CB">
        <w:t>east and west sides of the street differ markedly</w:t>
      </w:r>
      <w:r>
        <w:t>.</w:t>
      </w:r>
    </w:p>
    <w:p w14:paraId="09F1D1EE" w14:textId="41181269" w:rsidR="00DE71CB" w:rsidRDefault="00DE71CB" w:rsidP="00DE71CB">
      <w:pPr>
        <w:pStyle w:val="Para5"/>
      </w:pPr>
      <w:r>
        <w:t xml:space="preserve">The eastern side is wholly residential, with the three above-mentioned properties </w:t>
      </w:r>
      <w:r w:rsidR="00FE7AE5">
        <w:t xml:space="preserve">(2, 4 and 6 Dunoon Street) </w:t>
      </w:r>
      <w:r>
        <w:t xml:space="preserve">each having a front setback of </w:t>
      </w:r>
      <w:r w:rsidRPr="008A4FCA">
        <w:t>7.</w:t>
      </w:r>
      <w:r w:rsidR="008A4FCA" w:rsidRPr="008A4FCA">
        <w:t>8</w:t>
      </w:r>
      <w:r w:rsidRPr="008A4FCA">
        <w:t>m</w:t>
      </w:r>
      <w:r w:rsidR="00110F95">
        <w:t xml:space="preserve"> to </w:t>
      </w:r>
      <w:r w:rsidR="00B45BA5">
        <w:t xml:space="preserve">‘original’ </w:t>
      </w:r>
      <w:r w:rsidR="0060035B">
        <w:t xml:space="preserve">conservative-styled </w:t>
      </w:r>
      <w:r w:rsidR="00110F95">
        <w:t>single storey brick dwellings</w:t>
      </w:r>
      <w:r w:rsidR="003134EE">
        <w:t xml:space="preserve">, </w:t>
      </w:r>
      <w:r w:rsidR="00A65F4D">
        <w:rPr>
          <w:noProof/>
          <w:lang w:eastAsia="en-AU"/>
        </w:rPr>
        <w:lastRenderedPageBreak/>
        <w:drawing>
          <wp:anchor distT="0" distB="0" distL="114300" distR="114300" simplePos="0" relativeHeight="251662336" behindDoc="1" locked="0" layoutInCell="1" allowOverlap="1" wp14:anchorId="53872574" wp14:editId="1FE18E94">
            <wp:simplePos x="0" y="0"/>
            <wp:positionH relativeFrom="column">
              <wp:posOffset>5183505</wp:posOffset>
            </wp:positionH>
            <wp:positionV relativeFrom="paragraph">
              <wp:posOffset>8459470</wp:posOffset>
            </wp:positionV>
            <wp:extent cx="1080000" cy="1080000"/>
            <wp:effectExtent l="0" t="0" r="6350" b="6350"/>
            <wp:wrapNone/>
            <wp:docPr id="17" name="VCAT Seal5"/>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134EE">
        <w:t>that are each of cream brick common to the era</w:t>
      </w:r>
      <w:r>
        <w:t>.</w:t>
      </w:r>
      <w:r w:rsidR="006362A2">
        <w:t xml:space="preserve"> To the south and north of th</w:t>
      </w:r>
      <w:r w:rsidR="0060035B">
        <w:t xml:space="preserve">ese three dwellings </w:t>
      </w:r>
      <w:r w:rsidR="006362A2">
        <w:t>there are corner lots at 10 Studley Street (north) and 41 Police Road</w:t>
      </w:r>
      <w:r w:rsidR="00FE7AE5">
        <w:t xml:space="preserve"> (south)</w:t>
      </w:r>
      <w:r w:rsidR="006362A2">
        <w:t xml:space="preserve">, with smaller subdivision lots to their rears that contain </w:t>
      </w:r>
      <w:r w:rsidR="00FE7AE5">
        <w:t xml:space="preserve">double-storey </w:t>
      </w:r>
      <w:r w:rsidR="00B45BA5">
        <w:t xml:space="preserve">brick </w:t>
      </w:r>
      <w:r w:rsidR="006362A2">
        <w:t>dwellings that front to Dunoon Street</w:t>
      </w:r>
      <w:r w:rsidR="00FE7AE5">
        <w:t xml:space="preserve"> with short side-boundary type </w:t>
      </w:r>
      <w:r w:rsidR="003134EE">
        <w:t xml:space="preserve">front </w:t>
      </w:r>
      <w:r w:rsidR="00FE7AE5">
        <w:t>setbacks of 3m</w:t>
      </w:r>
      <w:r w:rsidR="006362A2">
        <w:t xml:space="preserve">. </w:t>
      </w:r>
      <w:r w:rsidR="008A4FCA">
        <w:t xml:space="preserve">The width of the parent lots fronting Police and Studley Streets (and hence the depth of these smaller ‘rear’ subdivision lots) is 15m. </w:t>
      </w:r>
      <w:r w:rsidR="00FE7AE5">
        <w:t>Thus</w:t>
      </w:r>
      <w:r w:rsidR="00B72198">
        <w:t>,</w:t>
      </w:r>
      <w:r w:rsidR="00FE7AE5">
        <w:t xml:space="preserve"> along Dunoon Street</w:t>
      </w:r>
      <w:r w:rsidR="003134EE">
        <w:t>,</w:t>
      </w:r>
      <w:r w:rsidR="00FE7AE5">
        <w:t xml:space="preserve"> the dwellings </w:t>
      </w:r>
      <w:r w:rsidR="002C4E90">
        <w:t xml:space="preserve">fronting </w:t>
      </w:r>
      <w:r w:rsidR="00FE7AE5">
        <w:t xml:space="preserve">the </w:t>
      </w:r>
      <w:r w:rsidR="003134EE">
        <w:t xml:space="preserve">east side of the </w:t>
      </w:r>
      <w:r w:rsidR="00FE7AE5">
        <w:t xml:space="preserve">street </w:t>
      </w:r>
      <w:r w:rsidR="008A4FCA">
        <w:t xml:space="preserve">currently </w:t>
      </w:r>
      <w:r w:rsidR="00FE7AE5">
        <w:t>have setbacks of either 7.</w:t>
      </w:r>
      <w:r w:rsidR="008A4FCA">
        <w:t>8</w:t>
      </w:r>
      <w:r w:rsidR="00FE7AE5">
        <w:t>m on lots that have historically fronted Dunoon Street</w:t>
      </w:r>
      <w:r w:rsidR="003134EE">
        <w:t xml:space="preserve">, </w:t>
      </w:r>
      <w:r w:rsidR="008A7A80">
        <w:t xml:space="preserve">or </w:t>
      </w:r>
      <w:r w:rsidR="003134EE">
        <w:t>3m (the two dwellings on former corner lots).</w:t>
      </w:r>
    </w:p>
    <w:p w14:paraId="1D0F50DC" w14:textId="77777777" w:rsidR="00DE71CB" w:rsidRDefault="007D4179" w:rsidP="000D08F7">
      <w:pPr>
        <w:pStyle w:val="Para5"/>
      </w:pPr>
      <w:r>
        <w:t xml:space="preserve">The western side </w:t>
      </w:r>
      <w:r w:rsidR="00B72198">
        <w:t xml:space="preserve">of Dunoon Street </w:t>
      </w:r>
      <w:r>
        <w:t xml:space="preserve">contains </w:t>
      </w:r>
      <w:r w:rsidR="00DE71CB">
        <w:t xml:space="preserve">a </w:t>
      </w:r>
      <w:r w:rsidR="007856C2">
        <w:t xml:space="preserve">garden centre at the </w:t>
      </w:r>
      <w:r w:rsidR="00B72198">
        <w:t>north-west c</w:t>
      </w:r>
      <w:r w:rsidR="007856C2">
        <w:t xml:space="preserve">orner of the Police Road / Dunoon Street intersection, </w:t>
      </w:r>
      <w:r w:rsidR="00DE71CB">
        <w:t xml:space="preserve">and a small open public parkland named </w:t>
      </w:r>
      <w:r>
        <w:t>Dunoon Square</w:t>
      </w:r>
      <w:r w:rsidR="00DE71CB">
        <w:t xml:space="preserve">. Further west opposite the parkland there is a small activity centre known as </w:t>
      </w:r>
      <w:r w:rsidR="001A61B5" w:rsidRPr="001A61B5">
        <w:t>Dunoon Court Shopping Centre</w:t>
      </w:r>
      <w:r w:rsidR="00B360D1">
        <w:t xml:space="preserve"> </w:t>
      </w:r>
      <w:r w:rsidR="00B72198">
        <w:t xml:space="preserve">with </w:t>
      </w:r>
      <w:r w:rsidR="00B360D1">
        <w:t xml:space="preserve">about </w:t>
      </w:r>
      <w:r w:rsidR="00B72198">
        <w:t xml:space="preserve">nine </w:t>
      </w:r>
      <w:r w:rsidR="00B360D1">
        <w:t>commercial premises</w:t>
      </w:r>
      <w:r w:rsidR="001A61B5" w:rsidRPr="001A61B5">
        <w:t>.</w:t>
      </w:r>
      <w:r w:rsidR="002C4E90">
        <w:t xml:space="preserve"> To the north of Dunoon Square there are two dwellings with setbacks of 5.1m and 6.1m off Dunoon Street that are on a ‘former corner lot’ that will have historically fronted to Studley Street</w:t>
      </w:r>
      <w:r w:rsidR="00EA0042">
        <w:t xml:space="preserve"> </w:t>
      </w:r>
    </w:p>
    <w:p w14:paraId="6F9DC0A4" w14:textId="77777777" w:rsidR="00FF7ED5" w:rsidRPr="00FB0253" w:rsidRDefault="001A61B5" w:rsidP="00FF7ED5">
      <w:pPr>
        <w:pStyle w:val="Para1"/>
      </w:pPr>
      <w:r>
        <w:t xml:space="preserve">The review site </w:t>
      </w:r>
      <w:r w:rsidR="00255AC3">
        <w:t xml:space="preserve">is flat land </w:t>
      </w:r>
      <w:r>
        <w:t>front</w:t>
      </w:r>
      <w:r w:rsidR="00255AC3">
        <w:t>ing</w:t>
      </w:r>
      <w:r>
        <w:t xml:space="preserve"> the eastern side of the street. </w:t>
      </w:r>
      <w:r w:rsidR="00110F95">
        <w:t xml:space="preserve">It </w:t>
      </w:r>
      <w:r>
        <w:t>contains two single-storey, separately</w:t>
      </w:r>
      <w:r w:rsidR="00DA5F51">
        <w:t>-</w:t>
      </w:r>
      <w:r>
        <w:t>titled brick dwellings with tiled roofs</w:t>
      </w:r>
      <w:r w:rsidR="007856C2">
        <w:t>,</w:t>
      </w:r>
      <w:r>
        <w:t xml:space="preserve"> </w:t>
      </w:r>
      <w:r w:rsidR="00255AC3">
        <w:t xml:space="preserve">and a </w:t>
      </w:r>
      <w:r>
        <w:t xml:space="preserve">common driveway. The review dwelling is at the front (west) </w:t>
      </w:r>
      <w:r w:rsidRPr="000F7FA5">
        <w:t>of the property</w:t>
      </w:r>
      <w:r>
        <w:t xml:space="preserve">. </w:t>
      </w:r>
      <w:r w:rsidR="00255AC3">
        <w:t xml:space="preserve">It is a brick </w:t>
      </w:r>
      <w:r w:rsidR="00110F95">
        <w:t xml:space="preserve">veneer </w:t>
      </w:r>
      <w:r w:rsidR="00255AC3">
        <w:t xml:space="preserve">dwelling </w:t>
      </w:r>
      <w:r w:rsidR="00DA5F51">
        <w:t xml:space="preserve">of its era </w:t>
      </w:r>
      <w:r w:rsidR="00255AC3">
        <w:t xml:space="preserve">with (as </w:t>
      </w:r>
      <w:r>
        <w:t>described by the Council</w:t>
      </w:r>
      <w:r w:rsidR="00255AC3">
        <w:t>)</w:t>
      </w:r>
      <w:r>
        <w:t xml:space="preserve"> a </w:t>
      </w:r>
      <w:r w:rsidR="003134EE">
        <w:t xml:space="preserve">1.9m wide </w:t>
      </w:r>
      <w:r>
        <w:t xml:space="preserve">non-original flat roofed timber verandah </w:t>
      </w:r>
      <w:r w:rsidR="003134EE">
        <w:t>at its front</w:t>
      </w:r>
      <w:r w:rsidR="008A302A">
        <w:t>, setback 5.9m from the front boundary</w:t>
      </w:r>
      <w:r w:rsidR="002C4E90">
        <w:t>,</w:t>
      </w:r>
      <w:r w:rsidR="008A302A">
        <w:t xml:space="preserve"> and with a </w:t>
      </w:r>
      <w:r w:rsidR="003134EE">
        <w:t>clear corrugated ‘laserlight’ type roof</w:t>
      </w:r>
      <w:r w:rsidR="00342549">
        <w:t xml:space="preserve">. The Council stated that </w:t>
      </w:r>
      <w:r>
        <w:t>there is no known record of planning approval</w:t>
      </w:r>
      <w:r w:rsidR="00342549">
        <w:t xml:space="preserve"> for the verandah</w:t>
      </w:r>
      <w:r>
        <w:t xml:space="preserve">. </w:t>
      </w:r>
      <w:r w:rsidR="00FF7ED5">
        <w:t xml:space="preserve">I was informed by the applicant that the </w:t>
      </w:r>
      <w:r w:rsidR="00FF7ED5" w:rsidRPr="00047800">
        <w:rPr>
          <w:i/>
        </w:rPr>
        <w:t>Registered Plan of Subdivision PS437849W</w:t>
      </w:r>
      <w:r w:rsidR="00FF7ED5" w:rsidRPr="00FB0253">
        <w:t xml:space="preserve"> shows the building </w:t>
      </w:r>
      <w:r w:rsidR="002C4E90">
        <w:t xml:space="preserve">footprint </w:t>
      </w:r>
      <w:r w:rsidR="00FF7ED5" w:rsidRPr="00FB0253">
        <w:t xml:space="preserve">on </w:t>
      </w:r>
      <w:r w:rsidR="00547187">
        <w:t>the review site to be</w:t>
      </w:r>
      <w:r w:rsidR="00EA0042">
        <w:t xml:space="preserve"> </w:t>
      </w:r>
      <w:r w:rsidR="00FF7ED5" w:rsidRPr="00FB0253">
        <w:t>setback 5.9m from Dunoon Street in 2002</w:t>
      </w:r>
      <w:r w:rsidR="00FF7ED5">
        <w:t xml:space="preserve">, which aligns with the </w:t>
      </w:r>
      <w:r w:rsidR="00110F95">
        <w:t xml:space="preserve">front of the </w:t>
      </w:r>
      <w:r w:rsidR="00FF7ED5">
        <w:t xml:space="preserve">existing </w:t>
      </w:r>
      <w:r w:rsidR="00FF7ED5" w:rsidRPr="00FB0253">
        <w:t>veranda</w:t>
      </w:r>
      <w:r w:rsidR="002C4E90">
        <w:t>, and is the setback now sought in the current application before the Tribunal</w:t>
      </w:r>
      <w:r w:rsidR="00FF7ED5" w:rsidRPr="00FB0253">
        <w:t>.</w:t>
      </w:r>
    </w:p>
    <w:p w14:paraId="11F440AD" w14:textId="77777777" w:rsidR="0061391E" w:rsidRDefault="00B72198" w:rsidP="000D08F7">
      <w:pPr>
        <w:pStyle w:val="Para1"/>
      </w:pPr>
      <w:r>
        <w:t xml:space="preserve">Current </w:t>
      </w:r>
      <w:r w:rsidR="000F7FA5" w:rsidRPr="00B45BA5">
        <w:t xml:space="preserve">planning permit </w:t>
      </w:r>
      <w:r w:rsidR="00B45BA5" w:rsidRPr="00B45BA5">
        <w:t xml:space="preserve">TPA/48468 </w:t>
      </w:r>
      <w:r>
        <w:t xml:space="preserve">permits </w:t>
      </w:r>
      <w:r w:rsidR="007D4179" w:rsidRPr="000D08F7">
        <w:t xml:space="preserve">a narrower </w:t>
      </w:r>
      <w:r w:rsidR="000F7FA5" w:rsidRPr="000D08F7">
        <w:t>extension</w:t>
      </w:r>
      <w:r w:rsidR="007D4179" w:rsidRPr="000D08F7">
        <w:t xml:space="preserve"> to the dwelling </w:t>
      </w:r>
      <w:r w:rsidR="000D08F7" w:rsidRPr="000D08F7">
        <w:t>t</w:t>
      </w:r>
      <w:r w:rsidR="00B45BA5">
        <w:t>h</w:t>
      </w:r>
      <w:r w:rsidR="000D08F7" w:rsidRPr="000D08F7">
        <w:t xml:space="preserve">an that now </w:t>
      </w:r>
      <w:r w:rsidR="00B45BA5">
        <w:t xml:space="preserve">proposed. </w:t>
      </w:r>
      <w:r>
        <w:t xml:space="preserve">It </w:t>
      </w:r>
      <w:r w:rsidR="007D4179" w:rsidRPr="000D08F7">
        <w:t>provide</w:t>
      </w:r>
      <w:r>
        <w:t>s</w:t>
      </w:r>
      <w:r w:rsidR="007D4179" w:rsidRPr="000D08F7">
        <w:t xml:space="preserve"> </w:t>
      </w:r>
      <w:r w:rsidR="00B45BA5">
        <w:t xml:space="preserve">for </w:t>
      </w:r>
      <w:r>
        <w:t xml:space="preserve">the dwelling to be extended forward to </w:t>
      </w:r>
      <w:r w:rsidR="007D4179" w:rsidRPr="000D08F7">
        <w:t xml:space="preserve">a </w:t>
      </w:r>
      <w:r w:rsidR="000F7FA5" w:rsidRPr="000D08F7">
        <w:t>6.4m front setback</w:t>
      </w:r>
      <w:r w:rsidR="00342549">
        <w:t>, which is 0.5m short of the front of the existing verandah</w:t>
      </w:r>
      <w:r w:rsidR="0061391E">
        <w:t xml:space="preserve">. </w:t>
      </w:r>
      <w:r w:rsidR="00342549">
        <w:t xml:space="preserve">The permit </w:t>
      </w:r>
      <w:r w:rsidR="0061391E">
        <w:t>has not yet been activated</w:t>
      </w:r>
      <w:r w:rsidR="007D4179" w:rsidRPr="000D08F7">
        <w:t>.</w:t>
      </w:r>
    </w:p>
    <w:p w14:paraId="6261F24E" w14:textId="77777777" w:rsidR="000D08F7" w:rsidRPr="000D08F7" w:rsidRDefault="0061391E" w:rsidP="000D08F7">
      <w:pPr>
        <w:pStyle w:val="Para1"/>
      </w:pPr>
      <w:r>
        <w:t>Post</w:t>
      </w:r>
      <w:r w:rsidR="00342549">
        <w:t>-</w:t>
      </w:r>
      <w:r>
        <w:t xml:space="preserve">August 2018, the current application to amend </w:t>
      </w:r>
      <w:r w:rsidRPr="00B45BA5">
        <w:t>TPA/48468</w:t>
      </w:r>
      <w:r w:rsidR="00047800">
        <w:t xml:space="preserve"> </w:t>
      </w:r>
      <w:r w:rsidR="001F27F2" w:rsidRPr="000D08F7">
        <w:t xml:space="preserve">was submitted </w:t>
      </w:r>
      <w:r w:rsidR="008A7A80">
        <w:t xml:space="preserve">to </w:t>
      </w:r>
      <w:r w:rsidR="001F27F2" w:rsidRPr="000D08F7">
        <w:t>a</w:t>
      </w:r>
      <w:r w:rsidR="00F40A75" w:rsidRPr="000D08F7">
        <w:t xml:space="preserve">nd refused by the Council. </w:t>
      </w:r>
      <w:r w:rsidR="000D08F7" w:rsidRPr="000D08F7">
        <w:t xml:space="preserve">The </w:t>
      </w:r>
      <w:r w:rsidR="000D08F7">
        <w:t xml:space="preserve">application had been </w:t>
      </w:r>
      <w:r w:rsidR="000D08F7" w:rsidRPr="000D08F7">
        <w:t>advertised to local owners and occupiers</w:t>
      </w:r>
      <w:r w:rsidR="000D08F7">
        <w:t>,</w:t>
      </w:r>
      <w:r w:rsidR="000D08F7" w:rsidRPr="000D08F7">
        <w:t xml:space="preserve"> with no objections received.</w:t>
      </w:r>
      <w:r w:rsidR="000D08F7" w:rsidRPr="000D08F7">
        <w:rPr>
          <w:rFonts w:ascii="Arial" w:hAnsi="Arial" w:cs="Arial"/>
          <w:sz w:val="21"/>
          <w:szCs w:val="21"/>
        </w:rPr>
        <w:t xml:space="preserve"> </w:t>
      </w:r>
      <w:r w:rsidR="000D08F7" w:rsidRPr="000D08F7">
        <w:t>Referral authorities were not consulted, pursuant to requirements of Clause 66 ‘</w:t>
      </w:r>
      <w:r w:rsidR="000D08F7" w:rsidRPr="000D08F7">
        <w:rPr>
          <w:i/>
        </w:rPr>
        <w:t>Referral and Notice Provisions’</w:t>
      </w:r>
      <w:r>
        <w:rPr>
          <w:i/>
        </w:rPr>
        <w:t>.</w:t>
      </w:r>
    </w:p>
    <w:p w14:paraId="629982C9" w14:textId="26FED5B4" w:rsidR="001F27F2" w:rsidRDefault="00F40A75" w:rsidP="000D08F7">
      <w:pPr>
        <w:pStyle w:val="Para1"/>
      </w:pPr>
      <w:r>
        <w:t>The applicant then applied to the Tribunal for review of th</w:t>
      </w:r>
      <w:r w:rsidR="00342549">
        <w:t>e Council’s</w:t>
      </w:r>
      <w:r>
        <w:t xml:space="preserve"> </w:t>
      </w:r>
      <w:r w:rsidR="00342549">
        <w:t xml:space="preserve">refusal </w:t>
      </w:r>
      <w:r>
        <w:t>decision. Pr</w:t>
      </w:r>
      <w:r w:rsidR="001F27F2">
        <w:t>ior to the review hearing</w:t>
      </w:r>
      <w:r w:rsidRPr="00F40A75">
        <w:t xml:space="preserve"> </w:t>
      </w:r>
      <w:r>
        <w:t xml:space="preserve">and in accordance with the Tribunal’s </w:t>
      </w:r>
      <w:r w:rsidR="00FD7D3A" w:rsidRPr="00FB0253">
        <w:t>PNPE9</w:t>
      </w:r>
      <w:r w:rsidR="00FD7D3A">
        <w:rPr>
          <w:rStyle w:val="FootnoteReference"/>
        </w:rPr>
        <w:footnoteReference w:id="3"/>
      </w:r>
      <w:r w:rsidR="00FD7D3A">
        <w:t xml:space="preserve"> practice note requirements</w:t>
      </w:r>
      <w:r w:rsidR="001F27F2">
        <w:t xml:space="preserve">, </w:t>
      </w:r>
      <w:r>
        <w:t xml:space="preserve">the applicant submitted </w:t>
      </w:r>
      <w:r w:rsidR="00A65F4D">
        <w:rPr>
          <w:noProof/>
          <w:lang w:eastAsia="en-AU"/>
        </w:rPr>
        <w:lastRenderedPageBreak/>
        <w:drawing>
          <wp:anchor distT="0" distB="0" distL="114300" distR="114300" simplePos="0" relativeHeight="251663360" behindDoc="1" locked="0" layoutInCell="1" allowOverlap="1" wp14:anchorId="1959143D" wp14:editId="60C4CD14">
            <wp:simplePos x="0" y="0"/>
            <wp:positionH relativeFrom="column">
              <wp:posOffset>5183505</wp:posOffset>
            </wp:positionH>
            <wp:positionV relativeFrom="paragraph">
              <wp:posOffset>8459470</wp:posOffset>
            </wp:positionV>
            <wp:extent cx="1080000" cy="1080000"/>
            <wp:effectExtent l="0" t="0" r="6350" b="6350"/>
            <wp:wrapNone/>
            <wp:docPr id="18" name="VCAT Seal6"/>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1391E">
        <w:t xml:space="preserve">further </w:t>
      </w:r>
      <w:r w:rsidR="001F27F2">
        <w:t xml:space="preserve">amended plans for substitution. </w:t>
      </w:r>
      <w:r w:rsidR="0061391E">
        <w:t xml:space="preserve">Those plans propose minor </w:t>
      </w:r>
      <w:r w:rsidR="00342549">
        <w:t xml:space="preserve">detail </w:t>
      </w:r>
      <w:r w:rsidR="0061391E">
        <w:t>changes but do not propose further change to the front setback of the dwelling. While t</w:t>
      </w:r>
      <w:r w:rsidR="001F27F2">
        <w:t>he Council did not object to the substitution</w:t>
      </w:r>
      <w:r w:rsidR="0061391E">
        <w:t xml:space="preserve"> </w:t>
      </w:r>
      <w:r w:rsidR="001F27F2">
        <w:t>it continues to oppose the propos</w:t>
      </w:r>
      <w:r w:rsidR="0061391E">
        <w:t xml:space="preserve">ed further extension </w:t>
      </w:r>
      <w:r w:rsidR="001F27F2">
        <w:t xml:space="preserve">on the </w:t>
      </w:r>
      <w:r w:rsidR="0061391E">
        <w:t xml:space="preserve">same </w:t>
      </w:r>
      <w:r w:rsidR="001F27F2">
        <w:t>basis</w:t>
      </w:r>
      <w:r w:rsidR="00342549">
        <w:t>,</w:t>
      </w:r>
      <w:r w:rsidR="0061391E">
        <w:t xml:space="preserve"> being </w:t>
      </w:r>
      <w:r w:rsidR="001F27F2">
        <w:t xml:space="preserve">that the </w:t>
      </w:r>
      <w:r w:rsidR="0061391E">
        <w:t xml:space="preserve">substitution </w:t>
      </w:r>
      <w:r w:rsidR="001F27F2">
        <w:t xml:space="preserve">amendments do not address </w:t>
      </w:r>
      <w:r>
        <w:t xml:space="preserve">its </w:t>
      </w:r>
      <w:r w:rsidR="001F27F2">
        <w:t>principle concern regarding the front setback.</w:t>
      </w:r>
      <w:r>
        <w:t xml:space="preserve"> I ordered the substitution of the plans on the basis of there being no objection, and because I considered the substitution plans to infer no detrimental amenity impact on any third party.</w:t>
      </w:r>
    </w:p>
    <w:p w14:paraId="363B3ACD" w14:textId="77777777" w:rsidR="00255AC3" w:rsidRDefault="00255AC3" w:rsidP="00255AC3">
      <w:pPr>
        <w:pStyle w:val="Para1"/>
      </w:pPr>
      <w:r w:rsidRPr="00DC3104">
        <w:t>The Tribunal must decide if a permit should be granted, and if so</w:t>
      </w:r>
      <w:r>
        <w:t>,</w:t>
      </w:r>
      <w:r w:rsidRPr="00DC3104">
        <w:t xml:space="preserve"> what conditions should be imposed</w:t>
      </w:r>
      <w:r w:rsidR="0061391E">
        <w:t>, based on consideration against Victoria’s planning law and the relevant provisions of the Monash Planning Scheme.</w:t>
      </w:r>
      <w:r w:rsidRPr="00DC3104">
        <w:t xml:space="preserve"> </w:t>
      </w:r>
      <w:r w:rsidR="0061391E">
        <w:t xml:space="preserve">This includes </w:t>
      </w:r>
      <w:r>
        <w:t xml:space="preserve">that planning decisions seek to ensure a </w:t>
      </w:r>
      <w:r w:rsidRPr="0061391E">
        <w:rPr>
          <w:i/>
        </w:rPr>
        <w:t>reasonable</w:t>
      </w:r>
      <w:r>
        <w:t xml:space="preserve"> planning outcome as distinct from the </w:t>
      </w:r>
      <w:r w:rsidRPr="0061391E">
        <w:rPr>
          <w:i/>
        </w:rPr>
        <w:t>best</w:t>
      </w:r>
      <w:r>
        <w:t xml:space="preserve"> outcome</w:t>
      </w:r>
      <w:r w:rsidR="00342549">
        <w:t>,</w:t>
      </w:r>
      <w:r>
        <w:t xml:space="preserve"> which is a subjective notion. In so doing, planning decisions also seek to achieve outcomes that are in the </w:t>
      </w:r>
      <w:r w:rsidR="002C4E90">
        <w:t xml:space="preserve">overall </w:t>
      </w:r>
      <w:r>
        <w:t>public interest</w:t>
      </w:r>
      <w:r w:rsidR="0028029A">
        <w:t xml:space="preserve"> under the above-mentioned planning criteria</w:t>
      </w:r>
      <w:r>
        <w:t>.</w:t>
      </w:r>
    </w:p>
    <w:p w14:paraId="194BA5E3" w14:textId="77777777" w:rsidR="00255AC3" w:rsidRPr="002C4E90" w:rsidRDefault="00255AC3" w:rsidP="00255AC3">
      <w:pPr>
        <w:pStyle w:val="Para1"/>
      </w:pPr>
      <w:r w:rsidRPr="00DC3104">
        <w:t>Having regard to the objectives of planning in Victoria</w:t>
      </w:r>
      <w:r w:rsidRPr="00DC3104">
        <w:rPr>
          <w:vertAlign w:val="superscript"/>
        </w:rPr>
        <w:footnoteReference w:id="4"/>
      </w:r>
      <w:r w:rsidRPr="00DC3104">
        <w:t xml:space="preserve">, the provisions of the </w:t>
      </w:r>
      <w:r>
        <w:t>Monash Pla</w:t>
      </w:r>
      <w:r w:rsidRPr="00DC3104">
        <w:t xml:space="preserve">nning Scheme, the submissions made at the </w:t>
      </w:r>
      <w:r>
        <w:t>h</w:t>
      </w:r>
      <w:r w:rsidRPr="00DC3104">
        <w:t xml:space="preserve">earing, and my </w:t>
      </w:r>
      <w:r>
        <w:t xml:space="preserve">observations from </w:t>
      </w:r>
      <w:r w:rsidRPr="00DC3104">
        <w:t xml:space="preserve">inspection of the site and surrounds, I have decided on </w:t>
      </w:r>
      <w:r w:rsidRPr="00577C99">
        <w:t xml:space="preserve">balance </w:t>
      </w:r>
      <w:r w:rsidRPr="002C4E90">
        <w:t>that a permit is to be granted subject to conditions. This sets aside the decision of the Council</w:t>
      </w:r>
      <w:r w:rsidR="00547187">
        <w:t>.</w:t>
      </w:r>
      <w:r w:rsidRPr="002C4E90">
        <w:t xml:space="preserve"> </w:t>
      </w:r>
    </w:p>
    <w:p w14:paraId="0627C006" w14:textId="77777777" w:rsidR="00F40A75" w:rsidRDefault="00F40A75" w:rsidP="00F40A75">
      <w:pPr>
        <w:pStyle w:val="Heading3"/>
      </w:pPr>
      <w:r>
        <w:t xml:space="preserve">What is proposed </w:t>
      </w:r>
    </w:p>
    <w:p w14:paraId="3DFE4F64" w14:textId="77777777" w:rsidR="0028029A" w:rsidRDefault="00F40A75" w:rsidP="00BB1048">
      <w:pPr>
        <w:pStyle w:val="Para1"/>
      </w:pPr>
      <w:r>
        <w:t>The</w:t>
      </w:r>
      <w:r w:rsidR="00BB1048" w:rsidRPr="00BB1048">
        <w:t xml:space="preserve"> current application </w:t>
      </w:r>
      <w:r w:rsidR="0028029A">
        <w:t xml:space="preserve">primarily </w:t>
      </w:r>
      <w:r w:rsidR="007856C2" w:rsidRPr="00BB1048">
        <w:t xml:space="preserve">proposes to </w:t>
      </w:r>
      <w:r w:rsidR="0028029A">
        <w:t>increase the size of the kitchen/living/dining areas of the existing dwelling and to provide for an ensuite and walk</w:t>
      </w:r>
      <w:r w:rsidR="00342549">
        <w:t>-</w:t>
      </w:r>
      <w:r w:rsidR="0028029A">
        <w:t>in robe off the master bedroom that would in turn be moved forward</w:t>
      </w:r>
      <w:r w:rsidR="00342549">
        <w:t>,</w:t>
      </w:r>
      <w:r w:rsidR="0028029A">
        <w:t xml:space="preserve"> </w:t>
      </w:r>
      <w:r w:rsidR="00342549">
        <w:t>to p</w:t>
      </w:r>
      <w:r w:rsidR="0028029A">
        <w:t>art</w:t>
      </w:r>
      <w:r w:rsidR="00342549">
        <w:t xml:space="preserve">ially occupy </w:t>
      </w:r>
      <w:r w:rsidR="0028029A">
        <w:t xml:space="preserve">the proposed </w:t>
      </w:r>
      <w:r w:rsidR="00342549">
        <w:t xml:space="preserve">further forward </w:t>
      </w:r>
      <w:r w:rsidR="0028029A">
        <w:t xml:space="preserve">extension. Existing permit </w:t>
      </w:r>
      <w:r w:rsidR="0028029A" w:rsidRPr="00B45BA5">
        <w:t>TPA/48468</w:t>
      </w:r>
      <w:r w:rsidR="0028029A">
        <w:t xml:space="preserve"> essentially achieves the same, but with </w:t>
      </w:r>
      <w:r w:rsidR="002C4E90">
        <w:t>‘</w:t>
      </w:r>
      <w:r w:rsidR="0003220B">
        <w:t>compressed</w:t>
      </w:r>
      <w:r w:rsidR="002C4E90">
        <w:t>’</w:t>
      </w:r>
      <w:r w:rsidR="0003220B">
        <w:t xml:space="preserve"> </w:t>
      </w:r>
      <w:r w:rsidR="0028029A">
        <w:t xml:space="preserve">lounge room space and the master bedroom narrowed by 0.5m </w:t>
      </w:r>
      <w:r w:rsidR="0003220B">
        <w:t xml:space="preserve">from what is now proposed. In both instances the existing verandah that extends across the full front of the dwelling would be reduced to a smaller porch at the northern front corner of the dwelling. In the substitution plans before the Tribunal, </w:t>
      </w:r>
      <w:r w:rsidR="008A7A80">
        <w:t xml:space="preserve">and as previously noted, </w:t>
      </w:r>
      <w:r w:rsidR="0003220B">
        <w:t xml:space="preserve">the extension would come forward to the current front face of the existing verandah. </w:t>
      </w:r>
    </w:p>
    <w:p w14:paraId="6038856B" w14:textId="77777777" w:rsidR="00BB1048" w:rsidRPr="0003220B" w:rsidRDefault="00BB1048" w:rsidP="00BB1048">
      <w:pPr>
        <w:pStyle w:val="Para1"/>
        <w:rPr>
          <w:rFonts w:ascii="Calibri" w:hAnsi="Calibri"/>
          <w:sz w:val="24"/>
        </w:rPr>
      </w:pPr>
      <w:bookmarkStart w:id="24" w:name="_Hlk18415564"/>
      <w:r>
        <w:t xml:space="preserve">The </w:t>
      </w:r>
      <w:r w:rsidR="001F27F2">
        <w:t xml:space="preserve">proposed </w:t>
      </w:r>
      <w:r>
        <w:t xml:space="preserve">extension </w:t>
      </w:r>
      <w:r w:rsidR="00B360D1">
        <w:t>would have a</w:t>
      </w:r>
      <w:r>
        <w:t xml:space="preserve"> rendered external finish </w:t>
      </w:r>
      <w:r w:rsidR="001F27F2">
        <w:t xml:space="preserve">on </w:t>
      </w:r>
      <w:r>
        <w:t xml:space="preserve">all elevations with charcoal coloured tiles on a pitched roof. The western </w:t>
      </w:r>
      <w:r w:rsidR="001F27F2">
        <w:t xml:space="preserve">(front) </w:t>
      </w:r>
      <w:r>
        <w:t xml:space="preserve">elevation </w:t>
      </w:r>
      <w:r w:rsidR="001F27F2">
        <w:t xml:space="preserve">to </w:t>
      </w:r>
      <w:r>
        <w:t xml:space="preserve">Dunoon Street is proposed to be 7.1m </w:t>
      </w:r>
      <w:r w:rsidR="001F27F2">
        <w:t xml:space="preserve">long </w:t>
      </w:r>
      <w:r w:rsidR="008A7A80">
        <w:t xml:space="preserve">(about two thirds of the dwelling’s width) </w:t>
      </w:r>
      <w:r w:rsidR="001F27F2">
        <w:t xml:space="preserve">with </w:t>
      </w:r>
      <w:r>
        <w:t xml:space="preserve">two aluminium </w:t>
      </w:r>
      <w:r w:rsidR="001F27F2">
        <w:t xml:space="preserve">framed </w:t>
      </w:r>
      <w:r>
        <w:t>windows</w:t>
      </w:r>
      <w:r w:rsidR="001F27F2">
        <w:t>. T</w:t>
      </w:r>
      <w:r>
        <w:t xml:space="preserve">he southern elevation </w:t>
      </w:r>
      <w:r w:rsidR="002C1E3C">
        <w:t xml:space="preserve">of the extension </w:t>
      </w:r>
      <w:r w:rsidR="001F27F2">
        <w:t xml:space="preserve">would be </w:t>
      </w:r>
      <w:r w:rsidR="001F27F2" w:rsidRPr="008A302A">
        <w:t xml:space="preserve">a </w:t>
      </w:r>
      <w:r w:rsidRPr="008A302A">
        <w:t>1.9m long</w:t>
      </w:r>
      <w:r>
        <w:t xml:space="preserve"> blank wall</w:t>
      </w:r>
      <w:r w:rsidR="008A7A80">
        <w:t xml:space="preserve"> joining to and extending forward from the existing south ern wall</w:t>
      </w:r>
      <w:r>
        <w:t>.</w:t>
      </w:r>
      <w:bookmarkEnd w:id="24"/>
      <w:r w:rsidR="001F27F2">
        <w:t xml:space="preserve"> The shared driveway for the two dwellings on the review site w</w:t>
      </w:r>
      <w:r w:rsidR="002C4E90">
        <w:t xml:space="preserve">ould </w:t>
      </w:r>
      <w:r w:rsidR="001F27F2">
        <w:t>remain</w:t>
      </w:r>
      <w:r w:rsidR="009F6A13">
        <w:t xml:space="preserve"> as it is</w:t>
      </w:r>
      <w:r w:rsidR="008A302A">
        <w:t xml:space="preserve">, and </w:t>
      </w:r>
      <w:r w:rsidR="009F6A13">
        <w:t>is not a consideration</w:t>
      </w:r>
      <w:r w:rsidR="008A302A">
        <w:t xml:space="preserve"> here</w:t>
      </w:r>
      <w:r w:rsidR="009F6A13">
        <w:t>.</w:t>
      </w:r>
    </w:p>
    <w:p w14:paraId="73634EC2" w14:textId="064DA04C" w:rsidR="00872BD7" w:rsidRDefault="00A65F4D" w:rsidP="00872BD7">
      <w:pPr>
        <w:pStyle w:val="Para1"/>
      </w:pPr>
      <w:r>
        <w:rPr>
          <w:noProof/>
          <w:lang w:eastAsia="en-AU"/>
        </w:rPr>
        <w:lastRenderedPageBreak/>
        <w:drawing>
          <wp:anchor distT="0" distB="0" distL="114300" distR="114300" simplePos="0" relativeHeight="251664384" behindDoc="1" locked="0" layoutInCell="1" allowOverlap="1" wp14:anchorId="6B0B4804" wp14:editId="3C983B44">
            <wp:simplePos x="0" y="0"/>
            <wp:positionH relativeFrom="column">
              <wp:posOffset>5183505</wp:posOffset>
            </wp:positionH>
            <wp:positionV relativeFrom="paragraph">
              <wp:posOffset>8459470</wp:posOffset>
            </wp:positionV>
            <wp:extent cx="1080000" cy="1080000"/>
            <wp:effectExtent l="0" t="0" r="6350" b="6350"/>
            <wp:wrapNone/>
            <wp:docPr id="19" name="VCAT Seal7"/>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72BD7">
        <w:t>The Council</w:t>
      </w:r>
      <w:r w:rsidR="0003220B">
        <w:t xml:space="preserve"> solely opposes the additional 0.5m forward projection of the dwelling proper into the site frontage</w:t>
      </w:r>
      <w:r w:rsidR="009F6A13">
        <w:t>, beyond that currently permitted</w:t>
      </w:r>
      <w:r w:rsidR="0003220B">
        <w:t>.</w:t>
      </w:r>
    </w:p>
    <w:p w14:paraId="43D1501A" w14:textId="77777777" w:rsidR="0010369B" w:rsidRDefault="00872BD7" w:rsidP="00623D1B">
      <w:pPr>
        <w:pStyle w:val="Para1"/>
      </w:pPr>
      <w:r>
        <w:t>More fully, t</w:t>
      </w:r>
      <w:r w:rsidR="00623D1B">
        <w:t xml:space="preserve">he </w:t>
      </w:r>
      <w:r w:rsidR="0010369B">
        <w:t xml:space="preserve">Council stated that the proposal fails the above test relevant to both existing and preferred future character. In short, the Council considers that the proposed 5.9m front setback would be at odds with the pattern of surrounding housing stock and the </w:t>
      </w:r>
      <w:r w:rsidR="0010369B" w:rsidRPr="00627C2C">
        <w:rPr>
          <w:i/>
        </w:rPr>
        <w:t>Garden City Character</w:t>
      </w:r>
      <w:r w:rsidR="0010369B">
        <w:t xml:space="preserve"> outcome sought by Clause 22.01 of the Monash Planning Scheme, and sought to be achieved through the variations to Standard A3 of Schedule 2 to the General Residential Zone. </w:t>
      </w:r>
    </w:p>
    <w:p w14:paraId="4FFAD760" w14:textId="77777777" w:rsidR="00C75C2B" w:rsidRDefault="00C75C2B" w:rsidP="00C75C2B">
      <w:pPr>
        <w:pStyle w:val="Heading2"/>
      </w:pPr>
      <w:r>
        <w:t xml:space="preserve">Procedural issues and rulings </w:t>
      </w:r>
    </w:p>
    <w:p w14:paraId="65256739" w14:textId="77777777" w:rsidR="00C75C2B" w:rsidRDefault="00C75C2B" w:rsidP="00C75C2B">
      <w:pPr>
        <w:pStyle w:val="Para1"/>
      </w:pPr>
      <w:r>
        <w:t>I ordered the substitution of plans for the reasons I have previously identified.</w:t>
      </w:r>
    </w:p>
    <w:p w14:paraId="66F5DE61" w14:textId="77777777" w:rsidR="00057004" w:rsidRDefault="00057004" w:rsidP="00057004">
      <w:pPr>
        <w:pStyle w:val="Heading2"/>
      </w:pPr>
      <w:r>
        <w:t>What are the key issues?</w:t>
      </w:r>
    </w:p>
    <w:p w14:paraId="016125EE" w14:textId="77777777" w:rsidR="00057004" w:rsidRDefault="00E501F4" w:rsidP="00057004">
      <w:pPr>
        <w:pStyle w:val="Para1"/>
      </w:pPr>
      <w:r>
        <w:t xml:space="preserve">The </w:t>
      </w:r>
      <w:r w:rsidR="00C75C2B">
        <w:t xml:space="preserve">single </w:t>
      </w:r>
      <w:r>
        <w:t>key issue is simply whether the proposed 5.9m front setback sought for the review dwelling is appropriate in its planning policy and site contexts</w:t>
      </w:r>
      <w:r w:rsidR="00C75C2B">
        <w:t>.</w:t>
      </w:r>
      <w:r w:rsidR="0003220B">
        <w:t xml:space="preserve"> </w:t>
      </w:r>
      <w:r w:rsidR="009F6A13">
        <w:t>The existing permit that provides for the 6.4m front setback</w:t>
      </w:r>
      <w:r w:rsidR="008A302A">
        <w:t xml:space="preserve"> is not under review</w:t>
      </w:r>
      <w:r w:rsidR="009F6A13">
        <w:t xml:space="preserve">. </w:t>
      </w:r>
    </w:p>
    <w:p w14:paraId="06F8C427" w14:textId="77777777" w:rsidR="006E7F23" w:rsidRDefault="006E7F23" w:rsidP="006E7F23">
      <w:pPr>
        <w:pStyle w:val="Heading2"/>
      </w:pPr>
      <w:r>
        <w:t xml:space="preserve">Discussion </w:t>
      </w:r>
    </w:p>
    <w:p w14:paraId="1089B17D" w14:textId="77777777" w:rsidR="0010369B" w:rsidRDefault="00C75C2B" w:rsidP="00633F7E">
      <w:pPr>
        <w:pStyle w:val="Para1"/>
      </w:pPr>
      <w:r>
        <w:t xml:space="preserve">I </w:t>
      </w:r>
      <w:r w:rsidR="0010369B">
        <w:t xml:space="preserve">generally </w:t>
      </w:r>
      <w:r>
        <w:t xml:space="preserve">agree with the Council that deviation from planning policy for residential planning proposals which seek a built form outcome that is </w:t>
      </w:r>
      <w:r w:rsidR="0010369B">
        <w:t xml:space="preserve">inconsistent </w:t>
      </w:r>
      <w:r>
        <w:t xml:space="preserve">with prevailing local housing stock, should mainly occur only where current character policy encourages such change. </w:t>
      </w:r>
      <w:r w:rsidR="00816944">
        <w:t>However</w:t>
      </w:r>
      <w:r w:rsidR="000B0705">
        <w:t>,</w:t>
      </w:r>
      <w:r w:rsidR="00816944">
        <w:t xml:space="preserve"> it is also conceivable </w:t>
      </w:r>
      <w:r w:rsidR="0010369B">
        <w:t xml:space="preserve">that there may be specific sites where </w:t>
      </w:r>
      <w:r w:rsidR="00816944">
        <w:t xml:space="preserve">allowable </w:t>
      </w:r>
      <w:r w:rsidR="0010369B">
        <w:t xml:space="preserve">discretion can reasonably lead to an alternative outcome. </w:t>
      </w:r>
    </w:p>
    <w:p w14:paraId="0D6AB290" w14:textId="77777777" w:rsidR="002420B9" w:rsidRPr="00511973" w:rsidRDefault="002420B9" w:rsidP="00511973">
      <w:pPr>
        <w:pStyle w:val="Para1"/>
      </w:pPr>
      <w:r w:rsidRPr="00511973">
        <w:t xml:space="preserve">Clause 22.01 </w:t>
      </w:r>
      <w:r w:rsidRPr="00511973">
        <w:rPr>
          <w:i/>
        </w:rPr>
        <w:t>Residential Development and Character Policy</w:t>
      </w:r>
      <w:r w:rsidRPr="00511973">
        <w:t xml:space="preserve"> </w:t>
      </w:r>
      <w:r w:rsidR="00416F3A">
        <w:t xml:space="preserve">is consistent with and consolidates wider planning framework policies and provisions into the local context. </w:t>
      </w:r>
      <w:r w:rsidR="00D04E99">
        <w:t>In broad summary, i</w:t>
      </w:r>
      <w:r w:rsidR="00416F3A">
        <w:t xml:space="preserve">t </w:t>
      </w:r>
      <w:r w:rsidR="00D44998">
        <w:t xml:space="preserve">states </w:t>
      </w:r>
      <w:r w:rsidR="00D44998" w:rsidRPr="00511973">
        <w:t>that Monash has diverse streetscape types that are valued by residents</w:t>
      </w:r>
      <w:r w:rsidR="00D44998">
        <w:t xml:space="preserve">, and it </w:t>
      </w:r>
      <w:r w:rsidR="00511973" w:rsidRPr="00511973">
        <w:t xml:space="preserve">intends to ensure that new development successfully integrates into existing residential environments, </w:t>
      </w:r>
      <w:r w:rsidR="00511973">
        <w:t xml:space="preserve">by </w:t>
      </w:r>
      <w:r w:rsidR="00450308" w:rsidRPr="00511973">
        <w:t>seek</w:t>
      </w:r>
      <w:r w:rsidR="00511973">
        <w:t>ing</w:t>
      </w:r>
      <w:r w:rsidR="00450308" w:rsidRPr="00511973">
        <w:t xml:space="preserve"> minimal streetscape or amenity impact, and design to achieve outcomes that enhance </w:t>
      </w:r>
      <w:r w:rsidR="00511973">
        <w:t xml:space="preserve">municipality’s </w:t>
      </w:r>
      <w:r w:rsidR="00450308" w:rsidRPr="00511973">
        <w:rPr>
          <w:i/>
        </w:rPr>
        <w:t>Garden City Character</w:t>
      </w:r>
      <w:r w:rsidR="00450308" w:rsidRPr="00511973">
        <w:t xml:space="preserve">. It </w:t>
      </w:r>
      <w:r w:rsidRPr="00DA037E">
        <w:t>applies to all residential land in Monash</w:t>
      </w:r>
      <w:r w:rsidR="000B0705">
        <w:t>,</w:t>
      </w:r>
      <w:r w:rsidRPr="00511973">
        <w:t xml:space="preserve"> except </w:t>
      </w:r>
      <w:r w:rsidR="00816944">
        <w:t xml:space="preserve">that under </w:t>
      </w:r>
      <w:r w:rsidRPr="00511973">
        <w:t>a Heritage Overlay</w:t>
      </w:r>
      <w:r w:rsidR="000B0705">
        <w:t>, w</w:t>
      </w:r>
      <w:r w:rsidR="00450308" w:rsidRPr="00511973">
        <w:t xml:space="preserve">hich does not apply here. </w:t>
      </w:r>
      <w:r w:rsidR="000B0705">
        <w:t>Within the municipality t</w:t>
      </w:r>
      <w:r w:rsidR="00450308" w:rsidRPr="00511973">
        <w:t xml:space="preserve">he Council’s commitment </w:t>
      </w:r>
      <w:r w:rsidR="00570C5D" w:rsidRPr="00511973">
        <w:t xml:space="preserve">to </w:t>
      </w:r>
      <w:r w:rsidR="00450308" w:rsidRPr="00511973">
        <w:t xml:space="preserve">effectively </w:t>
      </w:r>
      <w:r w:rsidRPr="00511973">
        <w:t>manag</w:t>
      </w:r>
      <w:r w:rsidR="00450308" w:rsidRPr="00511973">
        <w:t>e</w:t>
      </w:r>
      <w:r w:rsidR="00570C5D" w:rsidRPr="00511973">
        <w:t xml:space="preserve"> ongoing change</w:t>
      </w:r>
      <w:r w:rsidR="00450308" w:rsidRPr="00511973">
        <w:t xml:space="preserve"> </w:t>
      </w:r>
      <w:r w:rsidR="00570C5D" w:rsidRPr="00511973">
        <w:t xml:space="preserve">is </w:t>
      </w:r>
      <w:r w:rsidR="008A302A">
        <w:t xml:space="preserve">under </w:t>
      </w:r>
      <w:r w:rsidR="00570C5D" w:rsidRPr="00511973">
        <w:t xml:space="preserve">challenge by </w:t>
      </w:r>
      <w:r w:rsidR="00DA037E">
        <w:t xml:space="preserve">increasing </w:t>
      </w:r>
      <w:r w:rsidR="00570C5D" w:rsidRPr="00511973">
        <w:t xml:space="preserve">demand for </w:t>
      </w:r>
      <w:r w:rsidR="008A302A">
        <w:t xml:space="preserve">the otherwise encouraged </w:t>
      </w:r>
      <w:r w:rsidR="00570C5D" w:rsidRPr="00511973">
        <w:t>greater variation in dwelling types</w:t>
      </w:r>
      <w:r w:rsidR="000B0705">
        <w:t>, and consequences that follow from that</w:t>
      </w:r>
      <w:r w:rsidR="008A302A">
        <w:t>. Wi</w:t>
      </w:r>
      <w:r w:rsidR="00450308" w:rsidRPr="00511973">
        <w:t>thout careful planning</w:t>
      </w:r>
      <w:r w:rsidR="00D44998">
        <w:t>,</w:t>
      </w:r>
      <w:r w:rsidR="00450308" w:rsidRPr="00511973">
        <w:t xml:space="preserve"> </w:t>
      </w:r>
      <w:r w:rsidR="00511973">
        <w:t xml:space="preserve">encroachment </w:t>
      </w:r>
      <w:r w:rsidR="00450308" w:rsidRPr="00511973">
        <w:t xml:space="preserve">can </w:t>
      </w:r>
      <w:r w:rsidR="00570C5D" w:rsidRPr="00511973">
        <w:t>reduce canopy tree environment</w:t>
      </w:r>
      <w:r w:rsidR="00450308" w:rsidRPr="00511973">
        <w:t>s</w:t>
      </w:r>
      <w:r w:rsidR="00570C5D" w:rsidRPr="00511973">
        <w:t xml:space="preserve"> and landscaped areas</w:t>
      </w:r>
      <w:r w:rsidR="00511973" w:rsidRPr="00511973">
        <w:t>,</w:t>
      </w:r>
      <w:r w:rsidR="00450308" w:rsidRPr="00511973">
        <w:t xml:space="preserve"> and hence capacity to retain </w:t>
      </w:r>
      <w:r w:rsidR="00D44998">
        <w:t xml:space="preserve">the </w:t>
      </w:r>
      <w:r w:rsidR="00450308" w:rsidRPr="00D44998">
        <w:rPr>
          <w:i/>
        </w:rPr>
        <w:t>Garden City Character</w:t>
      </w:r>
      <w:r w:rsidR="004A222B" w:rsidRPr="00511973">
        <w:t xml:space="preserve">. </w:t>
      </w:r>
      <w:r w:rsidR="00816944">
        <w:t>The following are a</w:t>
      </w:r>
      <w:r w:rsidR="00511973">
        <w:t>lso</w:t>
      </w:r>
      <w:r w:rsidR="00511973" w:rsidRPr="00511973">
        <w:t xml:space="preserve"> </w:t>
      </w:r>
      <w:r w:rsidR="00511973">
        <w:t>relevant to the current matter:</w:t>
      </w:r>
    </w:p>
    <w:p w14:paraId="5150E53D" w14:textId="58D56965" w:rsidR="001B1245" w:rsidRPr="000B39CE" w:rsidRDefault="00A65F4D" w:rsidP="00511973">
      <w:pPr>
        <w:pStyle w:val="Para5"/>
        <w:rPr>
          <w:lang w:val="en-US"/>
        </w:rPr>
      </w:pPr>
      <w:r>
        <w:rPr>
          <w:noProof/>
          <w:lang w:eastAsia="en-AU"/>
        </w:rPr>
        <w:lastRenderedPageBreak/>
        <w:drawing>
          <wp:anchor distT="0" distB="0" distL="114300" distR="114300" simplePos="0" relativeHeight="251665408" behindDoc="1" locked="0" layoutInCell="1" allowOverlap="1" wp14:anchorId="0E391A0A" wp14:editId="1253DA3E">
            <wp:simplePos x="0" y="0"/>
            <wp:positionH relativeFrom="column">
              <wp:posOffset>5183505</wp:posOffset>
            </wp:positionH>
            <wp:positionV relativeFrom="paragraph">
              <wp:posOffset>8459470</wp:posOffset>
            </wp:positionV>
            <wp:extent cx="1080000" cy="1080000"/>
            <wp:effectExtent l="0" t="0" r="6350" b="6350"/>
            <wp:wrapNone/>
            <wp:docPr id="20" name="VCAT Seal8"/>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50308" w:rsidRPr="000B39CE">
        <w:t xml:space="preserve">Clause 22.01 recognises </w:t>
      </w:r>
      <w:r w:rsidR="00816944" w:rsidRPr="000B39CE">
        <w:t xml:space="preserve">that </w:t>
      </w:r>
      <w:r w:rsidR="00450308" w:rsidRPr="000B39CE">
        <w:t xml:space="preserve">consistent building setbacks and well planted front gardens </w:t>
      </w:r>
      <w:r w:rsidR="00816944" w:rsidRPr="000B39CE">
        <w:t xml:space="preserve">are </w:t>
      </w:r>
      <w:r w:rsidR="00450308" w:rsidRPr="000B39CE">
        <w:t>contributory element</w:t>
      </w:r>
      <w:r w:rsidR="00816944" w:rsidRPr="000B39CE">
        <w:t>s</w:t>
      </w:r>
      <w:r w:rsidR="00450308" w:rsidRPr="000B39CE">
        <w:t xml:space="preserve"> within </w:t>
      </w:r>
      <w:r w:rsidR="00450308" w:rsidRPr="000B39CE">
        <w:rPr>
          <w:i/>
        </w:rPr>
        <w:t>Residential Character Area B</w:t>
      </w:r>
      <w:r w:rsidR="00450308" w:rsidRPr="000B39CE">
        <w:t xml:space="preserve">. </w:t>
      </w:r>
    </w:p>
    <w:p w14:paraId="277729B8" w14:textId="77777777" w:rsidR="001B1245" w:rsidRPr="00EF1CA9" w:rsidRDefault="001B1245" w:rsidP="001B1245">
      <w:pPr>
        <w:pStyle w:val="Para5"/>
        <w:rPr>
          <w:lang w:val="en-US"/>
        </w:rPr>
      </w:pPr>
      <w:r w:rsidRPr="00EF1CA9">
        <w:rPr>
          <w:lang w:val="en-US"/>
        </w:rPr>
        <w:t xml:space="preserve">The desired future character statement </w:t>
      </w:r>
      <w:r>
        <w:rPr>
          <w:lang w:val="en-US"/>
        </w:rPr>
        <w:t xml:space="preserve">in the clause also includes </w:t>
      </w:r>
      <w:r w:rsidRPr="00EF1CA9">
        <w:t>that as it develops</w:t>
      </w:r>
      <w:r>
        <w:t>,</w:t>
      </w:r>
      <w:r w:rsidRPr="00EF1CA9">
        <w:t xml:space="preserve"> </w:t>
      </w:r>
      <w:r w:rsidRPr="00511973">
        <w:rPr>
          <w:i/>
        </w:rPr>
        <w:t>Residential Character Area B</w:t>
      </w:r>
      <w:r w:rsidRPr="00EF1CA9">
        <w:t xml:space="preserve"> will retain its </w:t>
      </w:r>
      <w:r>
        <w:t>‘</w:t>
      </w:r>
      <w:r w:rsidRPr="00EF1CA9">
        <w:t>modest unassuming character</w:t>
      </w:r>
      <w:r>
        <w:t>’</w:t>
      </w:r>
      <w:r w:rsidRPr="00EF1CA9">
        <w:t xml:space="preserve"> by ensuring developments are appropriate in scale and </w:t>
      </w:r>
      <w:r>
        <w:t>form to the existing dwellings and that the b</w:t>
      </w:r>
      <w:r w:rsidRPr="00EF1CA9">
        <w:t xml:space="preserve">uilt-form will be unified by general </w:t>
      </w:r>
      <w:r>
        <w:t>consistency</w:t>
      </w:r>
      <w:r w:rsidRPr="00EF1CA9">
        <w:t xml:space="preserve"> in building setbacks.</w:t>
      </w:r>
    </w:p>
    <w:p w14:paraId="21883DD4" w14:textId="77777777" w:rsidR="001B1245" w:rsidRPr="002C235E" w:rsidRDefault="001B1245" w:rsidP="001B1245">
      <w:pPr>
        <w:pStyle w:val="Para5"/>
        <w:rPr>
          <w:lang w:val="en-US"/>
        </w:rPr>
      </w:pPr>
      <w:r>
        <w:t xml:space="preserve">Consistent with the above the desired future character statement for </w:t>
      </w:r>
      <w:r w:rsidRPr="00511973">
        <w:rPr>
          <w:i/>
        </w:rPr>
        <w:t>Character Area B</w:t>
      </w:r>
      <w:r>
        <w:t>.</w:t>
      </w:r>
      <w:r w:rsidRPr="001B1245">
        <w:t xml:space="preserve"> </w:t>
      </w:r>
      <w:r>
        <w:t xml:space="preserve">in part includes the following that most directly relate to the current proposal (in summary): </w:t>
      </w:r>
    </w:p>
    <w:p w14:paraId="02B8BA85" w14:textId="77777777" w:rsidR="002C235E" w:rsidRDefault="001B1245" w:rsidP="001B1245">
      <w:pPr>
        <w:pStyle w:val="Para5"/>
        <w:numPr>
          <w:ilvl w:val="1"/>
          <w:numId w:val="3"/>
        </w:numPr>
      </w:pPr>
      <w:r>
        <w:t xml:space="preserve">New developments </w:t>
      </w:r>
      <w:r w:rsidR="002C235E">
        <w:t>to be sympathetically designed, with complementary scale and form and ‘</w:t>
      </w:r>
      <w:r w:rsidR="002C235E" w:rsidRPr="002C235E">
        <w:rPr>
          <w:i/>
        </w:rPr>
        <w:t>unified by a general consistency in building setback</w:t>
      </w:r>
      <w:r w:rsidR="002C235E">
        <w:t>’ to adjacent buildings.</w:t>
      </w:r>
      <w:r>
        <w:t xml:space="preserve"> This would include for example: low f</w:t>
      </w:r>
      <w:r w:rsidRPr="000269CC">
        <w:t>ront</w:t>
      </w:r>
      <w:r>
        <w:t xml:space="preserve"> fences of sympathetic design/construction to allow front gardens to soften the edge between development and street; use of native and exotic plants, and retention of existing mature vegetation in frontages to create a soft visually permeable buffer between the house and street; use of only one single crossover per lot frontage; and ensuring that buildings directly adjacent public open spaces are setback and buffered with planting that complements the species and size of vegetation used in such open space</w:t>
      </w:r>
    </w:p>
    <w:p w14:paraId="03D84541" w14:textId="77777777" w:rsidR="00627C2C" w:rsidRDefault="00627C2C" w:rsidP="00734AF1">
      <w:pPr>
        <w:pStyle w:val="Para1"/>
      </w:pPr>
      <w:r>
        <w:t xml:space="preserve">The GRZ is a </w:t>
      </w:r>
      <w:r w:rsidRPr="00734AF1">
        <w:t>broad</w:t>
      </w:r>
      <w:r>
        <w:t xml:space="preserve"> residential zone. </w:t>
      </w:r>
      <w:r w:rsidR="00A17DB1">
        <w:t xml:space="preserve">Consistent with </w:t>
      </w:r>
      <w:r>
        <w:t xml:space="preserve">implementing the Municipal Planning Strategy </w:t>
      </w:r>
      <w:r w:rsidR="000B39CE">
        <w:t xml:space="preserve">(MSS) </w:t>
      </w:r>
      <w:r>
        <w:t>and the Planning Policy Framework</w:t>
      </w:r>
      <w:r w:rsidR="000B39CE">
        <w:t xml:space="preserve"> (PPF) </w:t>
      </w:r>
      <w:r w:rsidR="00734AF1">
        <w:t>in the planning scheme</w:t>
      </w:r>
      <w:r w:rsidR="001B1245">
        <w:t xml:space="preserve"> (including the above Clause 22.01 content),</w:t>
      </w:r>
      <w:r w:rsidR="00734AF1">
        <w:t xml:space="preserve"> it </w:t>
      </w:r>
      <w:r w:rsidR="00A17DB1">
        <w:t xml:space="preserve">also includes </w:t>
      </w:r>
      <w:r w:rsidR="00734AF1">
        <w:t xml:space="preserve">but </w:t>
      </w:r>
      <w:r w:rsidR="001B1245">
        <w:t xml:space="preserve">is </w:t>
      </w:r>
      <w:r w:rsidR="00734AF1">
        <w:t>not limited to</w:t>
      </w:r>
      <w:r w:rsidR="00805998">
        <w:t>,</w:t>
      </w:r>
      <w:r w:rsidR="00734AF1">
        <w:t xml:space="preserve"> encouraging </w:t>
      </w:r>
      <w:r w:rsidR="00A17DB1">
        <w:t xml:space="preserve">housing diversity and growth, and </w:t>
      </w:r>
      <w:r w:rsidR="00734AF1">
        <w:t>development that respects local neighbourhood character</w:t>
      </w:r>
      <w:r>
        <w:t>.</w:t>
      </w:r>
      <w:r w:rsidR="00734AF1">
        <w:t xml:space="preserve"> Schedules to the zone may contain neighbourhood character objectives to be achieved for the area.</w:t>
      </w:r>
    </w:p>
    <w:p w14:paraId="1AE5864A" w14:textId="77777777" w:rsidR="00627C2C" w:rsidRPr="000B39CE" w:rsidRDefault="007B32C9" w:rsidP="007C4B5A">
      <w:pPr>
        <w:pStyle w:val="Para1"/>
      </w:pPr>
      <w:r>
        <w:t>G</w:t>
      </w:r>
      <w:r w:rsidR="00734AF1">
        <w:t>RZ2 in part contains variations to various ResCode Standards at Clause 55 in the planning scheme. Importantly for the current matter the Schedule varies the Standard</w:t>
      </w:r>
      <w:r w:rsidR="00416F3A">
        <w:t>s</w:t>
      </w:r>
      <w:r w:rsidR="00734AF1">
        <w:t xml:space="preserve"> </w:t>
      </w:r>
      <w:r w:rsidR="00416F3A" w:rsidRPr="000B39CE">
        <w:t xml:space="preserve">A3 and </w:t>
      </w:r>
      <w:r w:rsidR="00734AF1" w:rsidRPr="000B39CE">
        <w:t>B6 minimum street setback</w:t>
      </w:r>
      <w:r w:rsidR="007C4B5A" w:rsidRPr="000B39CE">
        <w:t xml:space="preserve"> to 7.6m</w:t>
      </w:r>
      <w:r w:rsidR="00734AF1" w:rsidRPr="000B39CE">
        <w:t>.</w:t>
      </w:r>
      <w:r w:rsidR="00A17DB1" w:rsidRPr="000B39CE">
        <w:t xml:space="preserve"> This is a primary consideration in this decision. </w:t>
      </w:r>
    </w:p>
    <w:p w14:paraId="725D8DC7" w14:textId="77777777" w:rsidR="007C4B5A" w:rsidRPr="00C07805" w:rsidRDefault="00633F7E" w:rsidP="00204CAC">
      <w:pPr>
        <w:pStyle w:val="Para1"/>
        <w:rPr>
          <w:rFonts w:ascii="Arial" w:hAnsi="Arial" w:cs="Arial"/>
          <w:sz w:val="21"/>
          <w:szCs w:val="21"/>
        </w:rPr>
      </w:pPr>
      <w:r w:rsidRPr="00C07805">
        <w:t xml:space="preserve">The Council states that </w:t>
      </w:r>
      <w:r w:rsidR="006A2D32" w:rsidRPr="00C07805">
        <w:t xml:space="preserve">the </w:t>
      </w:r>
      <w:r w:rsidR="00204CAC" w:rsidRPr="00C07805">
        <w:t xml:space="preserve">existing </w:t>
      </w:r>
      <w:r w:rsidR="00A17DB1">
        <w:t xml:space="preserve">7.8m </w:t>
      </w:r>
      <w:r w:rsidR="006A2D32" w:rsidRPr="00C07805">
        <w:t xml:space="preserve">front setbacks of </w:t>
      </w:r>
      <w:r w:rsidR="00A17DB1">
        <w:t xml:space="preserve">the dwellings proper at numbers </w:t>
      </w:r>
      <w:r w:rsidR="006A2D32" w:rsidRPr="00C07805">
        <w:rPr>
          <w:lang w:val="en-US"/>
        </w:rPr>
        <w:t>2, 4 and 6 Dunoon Street</w:t>
      </w:r>
      <w:r w:rsidR="007C4B5A" w:rsidRPr="00C07805">
        <w:rPr>
          <w:lang w:val="en-US"/>
        </w:rPr>
        <w:t xml:space="preserve"> </w:t>
      </w:r>
      <w:r w:rsidR="006A2D32" w:rsidRPr="00C07805">
        <w:rPr>
          <w:lang w:val="en-US"/>
        </w:rPr>
        <w:t xml:space="preserve">create a uniform presentation to the street, </w:t>
      </w:r>
      <w:r w:rsidR="00416F3A">
        <w:rPr>
          <w:lang w:val="en-US"/>
        </w:rPr>
        <w:t xml:space="preserve">and satisfy </w:t>
      </w:r>
      <w:r w:rsidR="007C4B5A" w:rsidRPr="00C07805">
        <w:rPr>
          <w:lang w:val="en-US"/>
        </w:rPr>
        <w:t xml:space="preserve">the above-stated 7.6m minimum, </w:t>
      </w:r>
      <w:r w:rsidR="006A2D32" w:rsidRPr="00C07805">
        <w:rPr>
          <w:lang w:val="en-US"/>
        </w:rPr>
        <w:t xml:space="preserve">and that further non-uniform encroachments cannot be supported. </w:t>
      </w:r>
      <w:r w:rsidR="007C4B5A" w:rsidRPr="00C07805">
        <w:rPr>
          <w:lang w:val="en-US"/>
        </w:rPr>
        <w:t>The Council then proposed that:</w:t>
      </w:r>
    </w:p>
    <w:p w14:paraId="0A14F223" w14:textId="29384E25" w:rsidR="007C4B5A" w:rsidRPr="00C07805" w:rsidRDefault="007C4B5A" w:rsidP="007C4B5A">
      <w:pPr>
        <w:pStyle w:val="Para5"/>
        <w:rPr>
          <w:rFonts w:ascii="Arial" w:hAnsi="Arial" w:cs="Arial"/>
          <w:sz w:val="21"/>
          <w:szCs w:val="21"/>
        </w:rPr>
      </w:pPr>
      <w:r w:rsidRPr="00C07805">
        <w:rPr>
          <w:lang w:val="en-US"/>
        </w:rPr>
        <w:t>W</w:t>
      </w:r>
      <w:r w:rsidR="006A2D32" w:rsidRPr="00C07805">
        <w:rPr>
          <w:lang w:val="en-US"/>
        </w:rPr>
        <w:t xml:space="preserve">hile </w:t>
      </w:r>
      <w:r w:rsidRPr="00C07805">
        <w:rPr>
          <w:lang w:val="en-US"/>
        </w:rPr>
        <w:t xml:space="preserve">the 6.4m setback permitted by </w:t>
      </w:r>
      <w:r w:rsidR="006A2D32" w:rsidRPr="00C07805">
        <w:t xml:space="preserve">TPA/48468 </w:t>
      </w:r>
      <w:r w:rsidRPr="00C07805">
        <w:t xml:space="preserve">is </w:t>
      </w:r>
      <w:r w:rsidR="006A2D32" w:rsidRPr="00C07805">
        <w:t xml:space="preserve">forward of the </w:t>
      </w:r>
      <w:r w:rsidR="00A17DB1">
        <w:t xml:space="preserve">stated minimum </w:t>
      </w:r>
      <w:r w:rsidR="00A17DB1" w:rsidRPr="00C07805">
        <w:t xml:space="preserve">7.6m </w:t>
      </w:r>
      <w:r w:rsidR="006A2D32" w:rsidRPr="00C07805">
        <w:t xml:space="preserve">front setback, </w:t>
      </w:r>
      <w:r w:rsidR="00204CAC" w:rsidRPr="00C07805">
        <w:t xml:space="preserve">this was </w:t>
      </w:r>
      <w:r w:rsidRPr="00C07805">
        <w:t>permitted because the 6.4m will r</w:t>
      </w:r>
      <w:r w:rsidR="006A2D32" w:rsidRPr="00C07805">
        <w:t>eplac</w:t>
      </w:r>
      <w:r w:rsidRPr="00C07805">
        <w:t xml:space="preserve">e the </w:t>
      </w:r>
      <w:r w:rsidR="006A2D32" w:rsidRPr="00C07805">
        <w:t xml:space="preserve">existing verandah with no increase in footprint. </w:t>
      </w:r>
      <w:r w:rsidR="000B39CE" w:rsidRPr="000B39CE">
        <w:t xml:space="preserve">Further encroachment to 5.9m is contextually different in that it would </w:t>
      </w:r>
      <w:r w:rsidR="00A65F4D">
        <w:rPr>
          <w:noProof/>
          <w:lang w:eastAsia="en-AU"/>
        </w:rPr>
        <w:lastRenderedPageBreak/>
        <w:drawing>
          <wp:anchor distT="0" distB="0" distL="114300" distR="114300" simplePos="0" relativeHeight="251666432" behindDoc="1" locked="0" layoutInCell="1" allowOverlap="1" wp14:anchorId="701AB25D" wp14:editId="0546A237">
            <wp:simplePos x="0" y="0"/>
            <wp:positionH relativeFrom="column">
              <wp:posOffset>5183505</wp:posOffset>
            </wp:positionH>
            <wp:positionV relativeFrom="paragraph">
              <wp:posOffset>8459470</wp:posOffset>
            </wp:positionV>
            <wp:extent cx="1080000" cy="1080000"/>
            <wp:effectExtent l="0" t="0" r="6350" b="6350"/>
            <wp:wrapNone/>
            <wp:docPr id="21" name="VCAT Seal9"/>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B39CE" w:rsidRPr="000B39CE">
        <w:t>extend the dwelling footprint further forward of the verandah line to create a new built form in the streetscape.</w:t>
      </w:r>
      <w:r w:rsidR="000B39CE">
        <w:t xml:space="preserve"> </w:t>
      </w:r>
    </w:p>
    <w:p w14:paraId="6099D4B2" w14:textId="77777777" w:rsidR="00B03F2E" w:rsidRPr="00B03F2E" w:rsidRDefault="00B03F2E" w:rsidP="00B03F2E">
      <w:pPr>
        <w:pStyle w:val="Para2"/>
        <w:ind w:left="1134"/>
        <w:rPr>
          <w:i/>
        </w:rPr>
      </w:pPr>
      <w:r w:rsidRPr="00B03F2E">
        <w:rPr>
          <w:i/>
        </w:rPr>
        <w:t xml:space="preserve">I </w:t>
      </w:r>
      <w:r w:rsidR="005E7C66">
        <w:rPr>
          <w:i/>
        </w:rPr>
        <w:t xml:space="preserve">alternatively </w:t>
      </w:r>
      <w:r w:rsidRPr="00B03F2E">
        <w:rPr>
          <w:i/>
        </w:rPr>
        <w:t>note that the front of the verandah footprint is at 5.9m rather than 6.4m as stated by the Council</w:t>
      </w:r>
      <w:r w:rsidR="00047800">
        <w:rPr>
          <w:i/>
        </w:rPr>
        <w:t>.</w:t>
      </w:r>
    </w:p>
    <w:p w14:paraId="0881A269" w14:textId="77777777" w:rsidR="00204CAC" w:rsidRPr="00C07805" w:rsidRDefault="00C07805" w:rsidP="007C4B5A">
      <w:pPr>
        <w:pStyle w:val="Para5"/>
      </w:pPr>
      <w:r w:rsidRPr="00C07805">
        <w:t>The s</w:t>
      </w:r>
      <w:r w:rsidR="00204CAC" w:rsidRPr="00C07805">
        <w:t xml:space="preserve">hallower </w:t>
      </w:r>
      <w:r w:rsidR="007C4B5A" w:rsidRPr="00C07805">
        <w:t xml:space="preserve">development </w:t>
      </w:r>
      <w:r w:rsidR="00204CAC" w:rsidRPr="00C07805">
        <w:t xml:space="preserve">setbacks on corner sites of Dunoon Street </w:t>
      </w:r>
      <w:r w:rsidRPr="00C07805">
        <w:t>cannot be used as rationale for shallower setbacks on other sites</w:t>
      </w:r>
      <w:r w:rsidR="00A17DB1">
        <w:t xml:space="preserve"> including the review site</w:t>
      </w:r>
      <w:r w:rsidRPr="00C07805">
        <w:t xml:space="preserve">. As those setbacks align </w:t>
      </w:r>
      <w:r w:rsidR="007C4B5A" w:rsidRPr="00C07805">
        <w:t>with historic side setbacks</w:t>
      </w:r>
      <w:r w:rsidRPr="00C07805">
        <w:t xml:space="preserve">, they are conceptually </w:t>
      </w:r>
      <w:r w:rsidR="00204CAC" w:rsidRPr="00C07805">
        <w:t>different, and do not represent the prevailing character of the street</w:t>
      </w:r>
      <w:r w:rsidR="007F69AD" w:rsidRPr="00C07805">
        <w:t>.</w:t>
      </w:r>
      <w:r w:rsidR="00B03F2E">
        <w:t xml:space="preserve"> </w:t>
      </w:r>
    </w:p>
    <w:p w14:paraId="70403F47" w14:textId="77777777" w:rsidR="00AE298A" w:rsidRPr="00AE298A" w:rsidRDefault="0015040B" w:rsidP="005B6D59">
      <w:pPr>
        <w:pStyle w:val="Para1"/>
        <w:rPr>
          <w:rFonts w:eastAsiaTheme="minorHAnsi"/>
        </w:rPr>
      </w:pPr>
      <w:r>
        <w:t xml:space="preserve">The Applicant has counter argued </w:t>
      </w:r>
      <w:r w:rsidR="00015F00">
        <w:t>that the proposal is consistent with State and regional policy</w:t>
      </w:r>
      <w:r w:rsidR="002E2332">
        <w:t>,</w:t>
      </w:r>
      <w:r w:rsidR="00015F00">
        <w:t xml:space="preserve"> </w:t>
      </w:r>
      <w:r w:rsidR="002E2332">
        <w:t>and other provisions</w:t>
      </w:r>
      <w:r w:rsidR="00AE298A">
        <w:t xml:space="preserve"> in the planning scheme that I have identified above. The primary argument put to the Tribunal is that the </w:t>
      </w:r>
      <w:r w:rsidR="00AE298A" w:rsidRPr="00AE298A">
        <w:rPr>
          <w:rFonts w:eastAsiaTheme="minorHAnsi"/>
        </w:rPr>
        <w:t xml:space="preserve">proposed </w:t>
      </w:r>
      <w:r w:rsidR="00AE298A">
        <w:rPr>
          <w:rFonts w:eastAsiaTheme="minorHAnsi"/>
        </w:rPr>
        <w:t xml:space="preserve">5.9m front </w:t>
      </w:r>
      <w:r w:rsidR="00AE298A" w:rsidRPr="00AE298A">
        <w:rPr>
          <w:rFonts w:eastAsiaTheme="minorHAnsi"/>
        </w:rPr>
        <w:t xml:space="preserve">setback </w:t>
      </w:r>
      <w:r w:rsidR="004165A7">
        <w:rPr>
          <w:rFonts w:eastAsiaTheme="minorHAnsi"/>
        </w:rPr>
        <w:t xml:space="preserve">across </w:t>
      </w:r>
      <w:r w:rsidR="004165A7" w:rsidRPr="00AE298A">
        <w:rPr>
          <w:rFonts w:eastAsiaTheme="minorHAnsi"/>
        </w:rPr>
        <w:t xml:space="preserve">7.4m </w:t>
      </w:r>
      <w:r w:rsidR="004165A7">
        <w:rPr>
          <w:rFonts w:eastAsiaTheme="minorHAnsi"/>
        </w:rPr>
        <w:t xml:space="preserve">of the dwelling frontage </w:t>
      </w:r>
      <w:r w:rsidR="00AE298A" w:rsidRPr="00AE298A">
        <w:rPr>
          <w:rFonts w:eastAsiaTheme="minorHAnsi"/>
        </w:rPr>
        <w:t>is acceptable within Dunoon Street as the street does not display consistent street setbacks, common architectural style, or consistent low fences and walls. In that context</w:t>
      </w:r>
      <w:r w:rsidR="00AE298A">
        <w:rPr>
          <w:rFonts w:eastAsiaTheme="minorHAnsi"/>
        </w:rPr>
        <w:t>,</w:t>
      </w:r>
      <w:r w:rsidR="00AE298A" w:rsidRPr="00AE298A">
        <w:rPr>
          <w:rFonts w:eastAsiaTheme="minorHAnsi"/>
        </w:rPr>
        <w:t xml:space="preserve"> it is argued that the </w:t>
      </w:r>
      <w:r w:rsidR="00AE298A">
        <w:rPr>
          <w:rFonts w:eastAsiaTheme="minorHAnsi"/>
        </w:rPr>
        <w:t xml:space="preserve">proposed </w:t>
      </w:r>
      <w:r w:rsidR="00AE298A" w:rsidRPr="00AE298A">
        <w:rPr>
          <w:rFonts w:eastAsiaTheme="minorHAnsi"/>
        </w:rPr>
        <w:t xml:space="preserve">500mm extension </w:t>
      </w:r>
      <w:r w:rsidR="004165A7">
        <w:rPr>
          <w:rFonts w:eastAsiaTheme="minorHAnsi"/>
        </w:rPr>
        <w:t xml:space="preserve">forward of that currently permitted </w:t>
      </w:r>
      <w:r w:rsidR="00AE298A" w:rsidRPr="00AE298A">
        <w:rPr>
          <w:rFonts w:eastAsiaTheme="minorHAnsi"/>
        </w:rPr>
        <w:t xml:space="preserve">is minimal and would continue to reflect the spacing and rhythm of the streetscape. It was also argued that the proposed 5.9m setback would unify the streetscape and improve the </w:t>
      </w:r>
      <w:r w:rsidR="00AE298A" w:rsidRPr="00AE298A">
        <w:rPr>
          <w:rFonts w:eastAsiaTheme="minorHAnsi"/>
          <w:i/>
        </w:rPr>
        <w:t>Garden City Character</w:t>
      </w:r>
      <w:r w:rsidR="00AE298A" w:rsidRPr="00AE298A">
        <w:rPr>
          <w:rFonts w:eastAsiaTheme="minorHAnsi"/>
        </w:rPr>
        <w:t xml:space="preserve"> by providing a staggered average setback of the properties on either side (average setback 5.4m). </w:t>
      </w:r>
    </w:p>
    <w:p w14:paraId="6BC87C47" w14:textId="77777777" w:rsidR="0015040B" w:rsidRDefault="004165A7" w:rsidP="0015040B">
      <w:pPr>
        <w:pStyle w:val="Para1"/>
      </w:pPr>
      <w:r>
        <w:t>Other elements argued by the Applicant in support of the above include the following</w:t>
      </w:r>
      <w:r w:rsidR="0065286C">
        <w:rPr>
          <w:rStyle w:val="FootnoteReference"/>
        </w:rPr>
        <w:footnoteReference w:id="5"/>
      </w:r>
      <w:r w:rsidR="0015040B">
        <w:t>:</w:t>
      </w:r>
    </w:p>
    <w:p w14:paraId="0554A8CE" w14:textId="77777777" w:rsidR="0015040B" w:rsidRDefault="004165A7" w:rsidP="00015F00">
      <w:pPr>
        <w:pStyle w:val="Para5"/>
      </w:pPr>
      <w:r>
        <w:rPr>
          <w:rFonts w:eastAsiaTheme="minorHAnsi"/>
        </w:rPr>
        <w:t xml:space="preserve">The proposal </w:t>
      </w:r>
      <w:r w:rsidR="00015F00">
        <w:t xml:space="preserve">is </w:t>
      </w:r>
      <w:r>
        <w:t xml:space="preserve">for </w:t>
      </w:r>
      <w:r w:rsidR="00015F00">
        <w:t xml:space="preserve">a minor extension </w:t>
      </w:r>
      <w:r w:rsidR="002E2332">
        <w:rPr>
          <w:rFonts w:eastAsiaTheme="minorHAnsi"/>
        </w:rPr>
        <w:t>that will not cause unreasonable amenity impact on abutting properties</w:t>
      </w:r>
      <w:r w:rsidR="00015F00">
        <w:t>.</w:t>
      </w:r>
      <w:r w:rsidR="00A75733" w:rsidRPr="00A75733">
        <w:rPr>
          <w:rFonts w:eastAsiaTheme="minorHAnsi"/>
        </w:rPr>
        <w:t xml:space="preserve"> </w:t>
      </w:r>
    </w:p>
    <w:p w14:paraId="1BDCA7CD" w14:textId="77777777" w:rsidR="003644B7" w:rsidRDefault="003644B7" w:rsidP="005B6D59">
      <w:pPr>
        <w:pStyle w:val="Para5"/>
      </w:pPr>
      <w:r>
        <w:t xml:space="preserve">There </w:t>
      </w:r>
      <w:r w:rsidR="00B03F2E">
        <w:t xml:space="preserve">are </w:t>
      </w:r>
      <w:r w:rsidRPr="009435B6">
        <w:t>no significance overlays applied</w:t>
      </w:r>
      <w:r>
        <w:t xml:space="preserve"> </w:t>
      </w:r>
      <w:r w:rsidRPr="009435B6">
        <w:t>or</w:t>
      </w:r>
      <w:r>
        <w:t xml:space="preserve"> other </w:t>
      </w:r>
      <w:r w:rsidRPr="0081678A">
        <w:t xml:space="preserve">particular values </w:t>
      </w:r>
      <w:r>
        <w:t>attributed to the site.</w:t>
      </w:r>
    </w:p>
    <w:p w14:paraId="7B1E2974" w14:textId="77777777" w:rsidR="0015040B" w:rsidRPr="00FB0253" w:rsidRDefault="003644B7" w:rsidP="005B6D59">
      <w:pPr>
        <w:pStyle w:val="Para5"/>
      </w:pPr>
      <w:r>
        <w:t xml:space="preserve">The proposal </w:t>
      </w:r>
      <w:r w:rsidR="00015F00">
        <w:t xml:space="preserve">complies with the </w:t>
      </w:r>
      <w:r w:rsidR="0015040B">
        <w:t xml:space="preserve">Clause 21.01 </w:t>
      </w:r>
      <w:r w:rsidR="00015F00" w:rsidRPr="00494D55">
        <w:rPr>
          <w:i/>
        </w:rPr>
        <w:t>M</w:t>
      </w:r>
      <w:r w:rsidR="0015040B" w:rsidRPr="00494D55">
        <w:rPr>
          <w:i/>
        </w:rPr>
        <w:t>unicipal Profile</w:t>
      </w:r>
      <w:r w:rsidR="00015F00">
        <w:t xml:space="preserve"> and </w:t>
      </w:r>
      <w:r w:rsidR="0015040B" w:rsidRPr="0081678A">
        <w:t xml:space="preserve">Monash’s </w:t>
      </w:r>
      <w:r w:rsidR="0015040B" w:rsidRPr="00494D55">
        <w:rPr>
          <w:i/>
        </w:rPr>
        <w:t>Garden City Character</w:t>
      </w:r>
      <w:r w:rsidR="004165A7">
        <w:rPr>
          <w:i/>
        </w:rPr>
        <w:t xml:space="preserve"> </w:t>
      </w:r>
      <w:r w:rsidR="004165A7" w:rsidRPr="004165A7">
        <w:t>policy</w:t>
      </w:r>
      <w:r w:rsidR="00A17DB1">
        <w:t xml:space="preserve">. This is </w:t>
      </w:r>
      <w:r w:rsidR="004165A7">
        <w:t xml:space="preserve">through </w:t>
      </w:r>
      <w:r w:rsidR="007D05E7">
        <w:t xml:space="preserve">no </w:t>
      </w:r>
      <w:r w:rsidR="00015F00">
        <w:t xml:space="preserve">canopy tree </w:t>
      </w:r>
      <w:r w:rsidR="0015040B" w:rsidRPr="00FB0253">
        <w:t>removal</w:t>
      </w:r>
      <w:r w:rsidR="00015F00">
        <w:t xml:space="preserve">, </w:t>
      </w:r>
      <w:r w:rsidR="004165A7">
        <w:t>and the a</w:t>
      </w:r>
      <w:r w:rsidR="00015F00">
        <w:t xml:space="preserve">ddition of </w:t>
      </w:r>
      <w:r w:rsidR="0015040B" w:rsidRPr="00FB0253">
        <w:t>4 trees and 92 plants</w:t>
      </w:r>
      <w:r w:rsidR="00A75733">
        <w:t xml:space="preserve"> that would</w:t>
      </w:r>
      <w:r w:rsidR="004165A7">
        <w:t xml:space="preserve"> provide a ‘green’ setting and </w:t>
      </w:r>
      <w:r w:rsidR="00A75733">
        <w:t xml:space="preserve">filter views of the </w:t>
      </w:r>
      <w:r w:rsidR="004165A7">
        <w:t xml:space="preserve">review </w:t>
      </w:r>
      <w:r w:rsidR="00A75733">
        <w:t>residence</w:t>
      </w:r>
      <w:r w:rsidR="00AB19CA">
        <w:t>,</w:t>
      </w:r>
      <w:r w:rsidR="004165A7">
        <w:t xml:space="preserve"> and on approach from the north </w:t>
      </w:r>
      <w:r w:rsidR="0065286C" w:rsidRPr="00494D55">
        <w:rPr>
          <w:rFonts w:eastAsiaTheme="minorHAnsi"/>
        </w:rPr>
        <w:t xml:space="preserve">the </w:t>
      </w:r>
      <w:r w:rsidR="00494D55" w:rsidRPr="00494D55">
        <w:rPr>
          <w:rFonts w:eastAsiaTheme="minorHAnsi"/>
        </w:rPr>
        <w:t>mass</w:t>
      </w:r>
      <w:r w:rsidR="00494D55">
        <w:rPr>
          <w:rFonts w:eastAsiaTheme="minorHAnsi"/>
        </w:rPr>
        <w:t xml:space="preserve"> of </w:t>
      </w:r>
      <w:r w:rsidR="0065286C" w:rsidRPr="00494D55">
        <w:rPr>
          <w:rFonts w:eastAsiaTheme="minorHAnsi"/>
        </w:rPr>
        <w:t xml:space="preserve">the </w:t>
      </w:r>
      <w:r w:rsidR="00A17DB1">
        <w:rPr>
          <w:rFonts w:eastAsiaTheme="minorHAnsi"/>
        </w:rPr>
        <w:t xml:space="preserve">two-storey </w:t>
      </w:r>
      <w:r w:rsidR="0065286C" w:rsidRPr="00494D55">
        <w:rPr>
          <w:rFonts w:eastAsiaTheme="minorHAnsi"/>
        </w:rPr>
        <w:t>dwelling to the south.</w:t>
      </w:r>
    </w:p>
    <w:p w14:paraId="4F293A01" w14:textId="77777777" w:rsidR="0065286C" w:rsidRPr="003644B7" w:rsidRDefault="004165A7" w:rsidP="005B6D59">
      <w:pPr>
        <w:pStyle w:val="Para5"/>
        <w:rPr>
          <w:rFonts w:eastAsiaTheme="minorHAnsi"/>
        </w:rPr>
      </w:pPr>
      <w:r w:rsidRPr="003644B7">
        <w:rPr>
          <w:rFonts w:eastAsiaTheme="minorHAnsi"/>
        </w:rPr>
        <w:t xml:space="preserve">The outcome will </w:t>
      </w:r>
      <w:r w:rsidR="002E2332" w:rsidRPr="003644B7">
        <w:rPr>
          <w:rFonts w:eastAsiaTheme="minorHAnsi"/>
        </w:rPr>
        <w:t>maintain the preferred</w:t>
      </w:r>
      <w:r w:rsidRPr="003644B7">
        <w:rPr>
          <w:rFonts w:eastAsiaTheme="minorHAnsi"/>
        </w:rPr>
        <w:t>/</w:t>
      </w:r>
      <w:r w:rsidR="002E2332" w:rsidRPr="003644B7">
        <w:rPr>
          <w:rFonts w:eastAsiaTheme="minorHAnsi"/>
        </w:rPr>
        <w:t xml:space="preserve">predominant </w:t>
      </w:r>
      <w:r w:rsidR="003644B7" w:rsidRPr="003644B7">
        <w:rPr>
          <w:rFonts w:eastAsiaTheme="minorHAnsi"/>
        </w:rPr>
        <w:t xml:space="preserve">local </w:t>
      </w:r>
      <w:r w:rsidRPr="003644B7">
        <w:rPr>
          <w:rFonts w:eastAsiaTheme="minorHAnsi"/>
        </w:rPr>
        <w:t>single detached dwelling style</w:t>
      </w:r>
      <w:r w:rsidR="002E2332" w:rsidRPr="003644B7">
        <w:rPr>
          <w:rFonts w:eastAsiaTheme="minorHAnsi"/>
        </w:rPr>
        <w:t xml:space="preserve">, </w:t>
      </w:r>
      <w:r w:rsidR="003644B7" w:rsidRPr="003644B7">
        <w:rPr>
          <w:rFonts w:eastAsiaTheme="minorHAnsi"/>
        </w:rPr>
        <w:t xml:space="preserve">and no change is proposed </w:t>
      </w:r>
      <w:r w:rsidR="003644B7">
        <w:rPr>
          <w:rFonts w:eastAsiaTheme="minorHAnsi"/>
        </w:rPr>
        <w:t xml:space="preserve">to the rear </w:t>
      </w:r>
      <w:r w:rsidR="0065286C" w:rsidRPr="003644B7">
        <w:rPr>
          <w:rFonts w:eastAsiaTheme="minorHAnsi"/>
        </w:rPr>
        <w:t>SPOS</w:t>
      </w:r>
      <w:r w:rsidR="00AE298A" w:rsidRPr="003644B7">
        <w:rPr>
          <w:rFonts w:eastAsiaTheme="minorHAnsi"/>
        </w:rPr>
        <w:t>.</w:t>
      </w:r>
    </w:p>
    <w:p w14:paraId="7BA323BB" w14:textId="77777777" w:rsidR="004713C0" w:rsidRDefault="004713C0" w:rsidP="004713C0">
      <w:pPr>
        <w:pStyle w:val="Para1"/>
      </w:pPr>
      <w:r>
        <w:t>On balance, and with due respect for the Council’s substantiated reasons for refusal I am swayed by the Applicant’s position. This is for the following reasons.</w:t>
      </w:r>
    </w:p>
    <w:p w14:paraId="3C9EC84D" w14:textId="3389B075" w:rsidR="005B6D59" w:rsidRDefault="00B03F2E" w:rsidP="004713C0">
      <w:pPr>
        <w:pStyle w:val="Para1"/>
      </w:pPr>
      <w:r>
        <w:t xml:space="preserve">From the descriptions I have provided </w:t>
      </w:r>
      <w:r w:rsidR="004713C0">
        <w:t xml:space="preserve">I </w:t>
      </w:r>
      <w:r>
        <w:t xml:space="preserve">agree </w:t>
      </w:r>
      <w:r w:rsidR="004713C0">
        <w:t xml:space="preserve">that the character of the Dunoon Street environs is not typical of the wider Mulgrave hinterland. I </w:t>
      </w:r>
      <w:r w:rsidR="00A65F4D">
        <w:rPr>
          <w:noProof/>
          <w:lang w:eastAsia="en-AU"/>
        </w:rPr>
        <w:lastRenderedPageBreak/>
        <w:drawing>
          <wp:anchor distT="0" distB="0" distL="114300" distR="114300" simplePos="0" relativeHeight="251667456" behindDoc="1" locked="0" layoutInCell="1" allowOverlap="1" wp14:anchorId="4443386C" wp14:editId="4824CABD">
            <wp:simplePos x="0" y="0"/>
            <wp:positionH relativeFrom="column">
              <wp:posOffset>5183505</wp:posOffset>
            </wp:positionH>
            <wp:positionV relativeFrom="paragraph">
              <wp:posOffset>8459470</wp:posOffset>
            </wp:positionV>
            <wp:extent cx="1080000" cy="1080000"/>
            <wp:effectExtent l="0" t="0" r="6350" b="6350"/>
            <wp:wrapNone/>
            <wp:docPr id="22" name="VCAT Seal10"/>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13C0">
        <w:t xml:space="preserve">agree that </w:t>
      </w:r>
      <w:r>
        <w:t xml:space="preserve">the </w:t>
      </w:r>
      <w:r w:rsidR="004713C0">
        <w:t>street</w:t>
      </w:r>
      <w:r w:rsidR="005B6D59">
        <w:t xml:space="preserve">’s character </w:t>
      </w:r>
      <w:r w:rsidR="004713C0">
        <w:t xml:space="preserve">is influenced </w:t>
      </w:r>
      <w:r w:rsidR="005B6D59">
        <w:t xml:space="preserve">away from the typical situation by a combination of </w:t>
      </w:r>
      <w:r w:rsidR="004713C0">
        <w:t xml:space="preserve">its short length, </w:t>
      </w:r>
      <w:r w:rsidR="005B6D59">
        <w:t>the varied range of land uses</w:t>
      </w:r>
      <w:r w:rsidR="00AB19CA">
        <w:t xml:space="preserve"> fronting  the street,</w:t>
      </w:r>
      <w:r w:rsidR="005B6D59">
        <w:t xml:space="preserve"> and the presentation of those uses</w:t>
      </w:r>
      <w:r w:rsidR="00AB19CA">
        <w:t xml:space="preserve">, and development on them including dwelling heights and </w:t>
      </w:r>
      <w:r>
        <w:t xml:space="preserve">various high fences (including at the garden centre diagonally opposite the review site) </w:t>
      </w:r>
      <w:r w:rsidR="005B6D59">
        <w:t>within the street from north to south</w:t>
      </w:r>
      <w:r w:rsidR="00AB19CA">
        <w:t>,</w:t>
      </w:r>
      <w:r w:rsidR="005B6D59">
        <w:t xml:space="preserve"> and across its east and west sides. I find that while the three </w:t>
      </w:r>
      <w:r w:rsidR="004B43BF">
        <w:t xml:space="preserve">low-profile, single-storey </w:t>
      </w:r>
      <w:r w:rsidR="005B6D59">
        <w:t xml:space="preserve">dwellings (including the review site) at numbers 2, 4, and 6 Dunoon </w:t>
      </w:r>
      <w:r w:rsidR="00AB19CA">
        <w:t xml:space="preserve">Street </w:t>
      </w:r>
      <w:r w:rsidR="005B6D59">
        <w:t xml:space="preserve">have consistent 7.9m setbacks to the dwellings proper, </w:t>
      </w:r>
      <w:r w:rsidR="00AB19CA">
        <w:t xml:space="preserve">the relevance of </w:t>
      </w:r>
      <w:r w:rsidR="005B6D59">
        <w:t>this is somewhat ‘</w:t>
      </w:r>
      <w:r w:rsidR="00AC7DC1">
        <w:t>consumed</w:t>
      </w:r>
      <w:r w:rsidR="005B6D59">
        <w:t xml:space="preserve">’ </w:t>
      </w:r>
      <w:r w:rsidR="00AC7DC1">
        <w:t xml:space="preserve">by the </w:t>
      </w:r>
      <w:r w:rsidR="004B43BF">
        <w:t xml:space="preserve">cumulative character impact </w:t>
      </w:r>
      <w:r>
        <w:t>from the above features</w:t>
      </w:r>
      <w:r w:rsidR="00EA4B7C">
        <w:t>. In particular I note</w:t>
      </w:r>
      <w:r w:rsidR="004B43BF">
        <w:t xml:space="preserve"> the</w:t>
      </w:r>
      <w:r w:rsidR="002A2EF0">
        <w:t xml:space="preserve"> following</w:t>
      </w:r>
      <w:r w:rsidR="005B6D59">
        <w:t>:</w:t>
      </w:r>
    </w:p>
    <w:p w14:paraId="3277061E" w14:textId="77777777" w:rsidR="002A2EF0" w:rsidRDefault="00AB19CA" w:rsidP="00AD46BF">
      <w:pPr>
        <w:pStyle w:val="Para5"/>
      </w:pPr>
      <w:r>
        <w:t>About 63</w:t>
      </w:r>
      <w:r w:rsidR="002A2EF0">
        <w:t xml:space="preserve">% of the </w:t>
      </w:r>
      <w:r w:rsidR="00452FA2">
        <w:t xml:space="preserve">length of </w:t>
      </w:r>
      <w:r w:rsidR="002A2EF0">
        <w:t xml:space="preserve">the east side of Dunoon Street </w:t>
      </w:r>
      <w:r w:rsidR="004B43BF">
        <w:t xml:space="preserve">is frontage to the </w:t>
      </w:r>
      <w:r w:rsidR="002A2EF0">
        <w:t>four lots that are</w:t>
      </w:r>
      <w:r w:rsidR="004B43BF">
        <w:t>,</w:t>
      </w:r>
      <w:r w:rsidR="002A2EF0">
        <w:t xml:space="preserve"> or are derived from</w:t>
      </w:r>
      <w:r w:rsidR="004B43BF">
        <w:t>,</w:t>
      </w:r>
      <w:r w:rsidR="002A2EF0">
        <w:t xml:space="preserve"> corner lots contain</w:t>
      </w:r>
      <w:r w:rsidR="00B03F2E">
        <w:t xml:space="preserve">ing </w:t>
      </w:r>
      <w:r w:rsidR="002A2EF0">
        <w:t xml:space="preserve">dwellings </w:t>
      </w:r>
      <w:r w:rsidR="00B03F2E">
        <w:t xml:space="preserve">with </w:t>
      </w:r>
      <w:r w:rsidR="002A2EF0">
        <w:t xml:space="preserve">front setbacks </w:t>
      </w:r>
      <w:r w:rsidR="004B43BF">
        <w:t xml:space="preserve">that do not exceed </w:t>
      </w:r>
      <w:r w:rsidR="002A2EF0">
        <w:t xml:space="preserve">3m. </w:t>
      </w:r>
      <w:r>
        <w:t>Also, t</w:t>
      </w:r>
      <w:r w:rsidR="004B43BF">
        <w:t>he dwellings on those ‘corner lots’ abutting 2 and 6 Dunoon Street are double-storey dwellings that together are more dominant within the eastern side streetscape than are the three-low profile, and deeper setback dwellings at numbers 2, 4, and 6</w:t>
      </w:r>
      <w:r>
        <w:t xml:space="preserve">. </w:t>
      </w:r>
    </w:p>
    <w:p w14:paraId="1B328611" w14:textId="77777777" w:rsidR="00EA4B7C" w:rsidRDefault="004B43BF" w:rsidP="00AD46BF">
      <w:pPr>
        <w:pStyle w:val="Para5"/>
      </w:pPr>
      <w:r>
        <w:t>As identified earlier in this decision</w:t>
      </w:r>
      <w:r w:rsidR="00B03F2E">
        <w:t>,</w:t>
      </w:r>
      <w:r>
        <w:t xml:space="preserve"> the western side streetscape of Dunoon Street varies across two dwellings </w:t>
      </w:r>
      <w:r w:rsidR="00AB19CA">
        <w:t xml:space="preserve">at the northern end </w:t>
      </w:r>
      <w:r>
        <w:t xml:space="preserve">with 6.1m and 5.1m front setbacks, an open parkland a with commercial activities centre to its ‘rear’, and a garden centre with a high fence onto the street. </w:t>
      </w:r>
    </w:p>
    <w:p w14:paraId="7C4DF37E" w14:textId="77777777" w:rsidR="00EA4B7C" w:rsidRPr="00DA037E" w:rsidRDefault="00EA4B7C" w:rsidP="00EA4B7C">
      <w:pPr>
        <w:pStyle w:val="Para5"/>
      </w:pPr>
      <w:r w:rsidRPr="00DA037E">
        <w:t xml:space="preserve">In </w:t>
      </w:r>
      <w:r w:rsidR="00AB19CA">
        <w:t xml:space="preserve">retaining </w:t>
      </w:r>
      <w:r w:rsidRPr="00DA037E">
        <w:t>a single</w:t>
      </w:r>
      <w:r w:rsidR="00AB19CA">
        <w:t>-</w:t>
      </w:r>
      <w:r w:rsidRPr="00DA037E">
        <w:t xml:space="preserve">storey dwelling, </w:t>
      </w:r>
      <w:r>
        <w:t xml:space="preserve">it is probable that </w:t>
      </w:r>
      <w:r w:rsidRPr="00DA037E">
        <w:t xml:space="preserve">the outcome here will </w:t>
      </w:r>
      <w:r>
        <w:t xml:space="preserve">impact </w:t>
      </w:r>
      <w:r w:rsidRPr="00DA037E">
        <w:t>less on local character including building scale</w:t>
      </w:r>
      <w:r>
        <w:t>, ‘greenery’</w:t>
      </w:r>
      <w:r w:rsidRPr="00DA037E">
        <w:t xml:space="preserve"> and spaciousness generally, than would a</w:t>
      </w:r>
      <w:r>
        <w:t xml:space="preserve"> reasonable </w:t>
      </w:r>
      <w:r w:rsidRPr="00DA037E">
        <w:t>alternative proposal fo</w:t>
      </w:r>
      <w:r>
        <w:t xml:space="preserve">r a </w:t>
      </w:r>
      <w:r w:rsidRPr="00DA037E">
        <w:t>double</w:t>
      </w:r>
      <w:r>
        <w:t>-</w:t>
      </w:r>
      <w:r w:rsidRPr="00DA037E">
        <w:t xml:space="preserve">storey </w:t>
      </w:r>
      <w:r>
        <w:t>extension</w:t>
      </w:r>
      <w:r w:rsidR="00AB19CA">
        <w:t xml:space="preserve"> or replacement  dwelling</w:t>
      </w:r>
      <w:r>
        <w:t>.</w:t>
      </w:r>
    </w:p>
    <w:p w14:paraId="55832740" w14:textId="77777777" w:rsidR="00AC7DC1" w:rsidRDefault="00AC7DC1" w:rsidP="00AC7DC1">
      <w:pPr>
        <w:pStyle w:val="Para1"/>
      </w:pPr>
      <w:r>
        <w:t>Furthermore</w:t>
      </w:r>
      <w:r w:rsidR="00047800">
        <w:t>,</w:t>
      </w:r>
      <w:r>
        <w:t xml:space="preserve"> I find that the existing verandah with its frontage being at the same setback from the front boundary as that proposed in the current application does not itself impact noticeably on the streetscape character of the review dwelling. I find that this assist</w:t>
      </w:r>
      <w:r w:rsidR="00A97194">
        <w:t>s</w:t>
      </w:r>
      <w:r>
        <w:t xml:space="preserve"> in visualising the outcome of the proposed extension development, and I am satisfied that the proposed 0.5m forward projection of (part of) the dwelling frontage beyond that currently permitted will have </w:t>
      </w:r>
      <w:r w:rsidR="00EA4B7C">
        <w:t xml:space="preserve">a ‘reasonably’ modest </w:t>
      </w:r>
      <w:r w:rsidR="00A25C3A">
        <w:t xml:space="preserve">to negligible </w:t>
      </w:r>
      <w:r w:rsidR="00EA4B7C">
        <w:t xml:space="preserve">additional </w:t>
      </w:r>
      <w:r>
        <w:t xml:space="preserve">visual impact. To the extent that any </w:t>
      </w:r>
      <w:r w:rsidR="004221A5">
        <w:t xml:space="preserve">additional visual impact </w:t>
      </w:r>
      <w:r w:rsidR="00A97194">
        <w:t xml:space="preserve">may </w:t>
      </w:r>
      <w:r w:rsidR="004221A5">
        <w:t xml:space="preserve">occur, I </w:t>
      </w:r>
      <w:r w:rsidR="00A25C3A">
        <w:t xml:space="preserve">consider </w:t>
      </w:r>
      <w:r w:rsidR="004221A5">
        <w:t xml:space="preserve">that this can be </w:t>
      </w:r>
      <w:r w:rsidR="00A97194">
        <w:t>countered</w:t>
      </w:r>
      <w:r w:rsidR="00A25C3A">
        <w:t xml:space="preserve"> </w:t>
      </w:r>
      <w:r w:rsidR="004221A5">
        <w:t xml:space="preserve">through the implementation of </w:t>
      </w:r>
      <w:r w:rsidR="00EA4B7C">
        <w:t xml:space="preserve">a </w:t>
      </w:r>
      <w:r w:rsidR="00A25C3A">
        <w:t xml:space="preserve">well-considered </w:t>
      </w:r>
      <w:r w:rsidR="004221A5">
        <w:t xml:space="preserve">landscape plan approved by the responsible authority. </w:t>
      </w:r>
      <w:r w:rsidR="00EA4B7C">
        <w:t>This is important within this decision.</w:t>
      </w:r>
    </w:p>
    <w:p w14:paraId="2385B378" w14:textId="174E90F2" w:rsidR="00AC7DC1" w:rsidRDefault="004221A5" w:rsidP="004221A5">
      <w:pPr>
        <w:pStyle w:val="Para1"/>
      </w:pPr>
      <w:r>
        <w:t xml:space="preserve">In concluding the above, I am acutely mindful of the GRZ2 </w:t>
      </w:r>
      <w:r w:rsidR="006E060E">
        <w:t xml:space="preserve">seeking </w:t>
      </w:r>
      <w:r>
        <w:t>minimum front setbacks of 7.6m</w:t>
      </w:r>
      <w:r w:rsidR="006E060E">
        <w:t>. M</w:t>
      </w:r>
      <w:r>
        <w:t xml:space="preserve">y decision </w:t>
      </w:r>
      <w:r w:rsidR="006E060E">
        <w:t xml:space="preserve">reflects the context of the site and cannot be considered to set a precedent for other applications in the wider neighbourhood under the same planning scenario. </w:t>
      </w:r>
      <w:r w:rsidR="00EA4B7C">
        <w:t xml:space="preserve">All proposals must be assessed solely on their own merits. </w:t>
      </w:r>
      <w:r w:rsidR="006E060E">
        <w:t xml:space="preserve">The fact here is that the Council has already approved an addition to the existing dwelling with a front setback </w:t>
      </w:r>
      <w:r w:rsidR="00A65F4D">
        <w:rPr>
          <w:noProof/>
          <w:lang w:eastAsia="en-AU"/>
        </w:rPr>
        <w:lastRenderedPageBreak/>
        <w:drawing>
          <wp:anchor distT="0" distB="0" distL="114300" distR="114300" simplePos="0" relativeHeight="251668480" behindDoc="1" locked="0" layoutInCell="1" allowOverlap="1" wp14:anchorId="3C1B5002" wp14:editId="427BBA2F">
            <wp:simplePos x="0" y="0"/>
            <wp:positionH relativeFrom="column">
              <wp:posOffset>5183505</wp:posOffset>
            </wp:positionH>
            <wp:positionV relativeFrom="paragraph">
              <wp:posOffset>8459470</wp:posOffset>
            </wp:positionV>
            <wp:extent cx="1080000" cy="1080000"/>
            <wp:effectExtent l="0" t="0" r="6350" b="6350"/>
            <wp:wrapNone/>
            <wp:docPr id="23" name="VCAT Seal1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E060E">
        <w:t>of 6.4m, that is considerably less than 7.6 m</w:t>
      </w:r>
      <w:r w:rsidR="00EA4B7C">
        <w:t>,</w:t>
      </w:r>
      <w:r w:rsidR="006E060E">
        <w:t xml:space="preserve"> and it is understandable that it does wish for further</w:t>
      </w:r>
      <w:r w:rsidR="00EA4B7C">
        <w:t xml:space="preserve"> encroachment</w:t>
      </w:r>
      <w:r w:rsidR="006E060E">
        <w:t xml:space="preserve">. </w:t>
      </w:r>
      <w:r w:rsidR="00874B73">
        <w:t xml:space="preserve">My decision sets aside that of the </w:t>
      </w:r>
      <w:r w:rsidR="00EA4B7C">
        <w:t>C</w:t>
      </w:r>
      <w:r w:rsidR="00874B73">
        <w:t>ouncil</w:t>
      </w:r>
      <w:r w:rsidR="006E060E">
        <w:t xml:space="preserve">, again solely in context </w:t>
      </w:r>
      <w:r w:rsidR="00874B73">
        <w:t>of the specific site. I do not otherwise accept that a progressive stepping back of front setbacks along from a corner site is acceptable in a normal context.</w:t>
      </w:r>
    </w:p>
    <w:p w14:paraId="5B42C7AD" w14:textId="77777777" w:rsidR="00057004" w:rsidRPr="00EA4B7C" w:rsidRDefault="00057004" w:rsidP="00057004">
      <w:pPr>
        <w:pStyle w:val="Heading2"/>
      </w:pPr>
      <w:r w:rsidRPr="00EA4B7C">
        <w:t>Are there any other issues?</w:t>
      </w:r>
    </w:p>
    <w:p w14:paraId="2BF323D2" w14:textId="77777777" w:rsidR="00573C5A" w:rsidRPr="00A10AE6" w:rsidRDefault="00494D55" w:rsidP="00573C5A">
      <w:pPr>
        <w:pStyle w:val="Para1"/>
        <w:rPr>
          <w:rFonts w:eastAsiaTheme="minorHAnsi"/>
        </w:rPr>
      </w:pPr>
      <w:r w:rsidRPr="00EA4B7C">
        <w:rPr>
          <w:rFonts w:eastAsiaTheme="minorHAnsi"/>
        </w:rPr>
        <w:t xml:space="preserve">The Applicant has proposed within the body of its submission that the sought extension would improve the internal amenity of the dwelling and better provide for changing family needs, while also preserving private open space and tree canopy. I note that </w:t>
      </w:r>
      <w:r w:rsidR="00A97194">
        <w:rPr>
          <w:rFonts w:eastAsiaTheme="minorHAnsi"/>
        </w:rPr>
        <w:t xml:space="preserve">the internal amenity matter </w:t>
      </w:r>
      <w:r w:rsidRPr="00EA4B7C">
        <w:rPr>
          <w:rFonts w:eastAsiaTheme="minorHAnsi"/>
        </w:rPr>
        <w:t xml:space="preserve">was not pursued as </w:t>
      </w:r>
      <w:r w:rsidR="00A97194">
        <w:rPr>
          <w:rFonts w:eastAsiaTheme="minorHAnsi"/>
        </w:rPr>
        <w:t xml:space="preserve">a </w:t>
      </w:r>
      <w:r w:rsidRPr="00EA4B7C">
        <w:rPr>
          <w:rFonts w:eastAsiaTheme="minorHAnsi"/>
        </w:rPr>
        <w:t>primary</w:t>
      </w:r>
      <w:r w:rsidR="00573C5A" w:rsidRPr="00EA4B7C">
        <w:rPr>
          <w:rFonts w:eastAsiaTheme="minorHAnsi"/>
        </w:rPr>
        <w:t xml:space="preserve"> issue for </w:t>
      </w:r>
      <w:r w:rsidR="00874B73" w:rsidRPr="00EA4B7C">
        <w:rPr>
          <w:rFonts w:eastAsiaTheme="minorHAnsi"/>
        </w:rPr>
        <w:t xml:space="preserve">this </w:t>
      </w:r>
      <w:r w:rsidR="00573C5A" w:rsidRPr="00EA4B7C">
        <w:rPr>
          <w:rFonts w:eastAsiaTheme="minorHAnsi"/>
        </w:rPr>
        <w:t xml:space="preserve">planning decision. While </w:t>
      </w:r>
      <w:r w:rsidR="00874B73" w:rsidRPr="00EA4B7C">
        <w:rPr>
          <w:rFonts w:eastAsiaTheme="minorHAnsi"/>
        </w:rPr>
        <w:t xml:space="preserve">many </w:t>
      </w:r>
      <w:r w:rsidR="00573C5A" w:rsidRPr="00EA4B7C">
        <w:rPr>
          <w:rFonts w:eastAsiaTheme="minorHAnsi"/>
        </w:rPr>
        <w:t xml:space="preserve">dwelling extension applications are tendered on this basis, planning decisions </w:t>
      </w:r>
      <w:r w:rsidRPr="00EA4B7C">
        <w:rPr>
          <w:rFonts w:eastAsiaTheme="minorHAnsi"/>
        </w:rPr>
        <w:t xml:space="preserve">cannot give </w:t>
      </w:r>
      <w:r w:rsidR="00573C5A" w:rsidRPr="00EA4B7C">
        <w:rPr>
          <w:rFonts w:eastAsiaTheme="minorHAnsi"/>
        </w:rPr>
        <w:t xml:space="preserve">overriding weight to </w:t>
      </w:r>
      <w:r w:rsidR="00874B73" w:rsidRPr="00EA4B7C">
        <w:rPr>
          <w:rFonts w:eastAsiaTheme="minorHAnsi"/>
        </w:rPr>
        <w:t xml:space="preserve">internal amenity of residents </w:t>
      </w:r>
      <w:r w:rsidR="00573C5A" w:rsidRPr="00EA4B7C">
        <w:rPr>
          <w:rFonts w:eastAsiaTheme="minorHAnsi"/>
        </w:rPr>
        <w:t>under the provisions of the Act</w:t>
      </w:r>
      <w:r w:rsidR="00754670" w:rsidRPr="00EA4B7C">
        <w:rPr>
          <w:rFonts w:eastAsiaTheme="minorHAnsi"/>
        </w:rPr>
        <w:t>,</w:t>
      </w:r>
      <w:r w:rsidR="00573C5A" w:rsidRPr="00EA4B7C">
        <w:rPr>
          <w:rFonts w:eastAsiaTheme="minorHAnsi"/>
        </w:rPr>
        <w:t xml:space="preserve"> </w:t>
      </w:r>
      <w:r w:rsidR="00754670" w:rsidRPr="00EA4B7C">
        <w:rPr>
          <w:rFonts w:eastAsiaTheme="minorHAnsi"/>
        </w:rPr>
        <w:t xml:space="preserve">a </w:t>
      </w:r>
      <w:r w:rsidR="00573C5A" w:rsidRPr="00EA4B7C">
        <w:rPr>
          <w:rFonts w:eastAsiaTheme="minorHAnsi"/>
        </w:rPr>
        <w:t xml:space="preserve">purpose of which is to </w:t>
      </w:r>
      <w:r w:rsidR="00573C5A" w:rsidRPr="00EA4B7C">
        <w:t>provide for the fair, orderly, economic and sustainable use, and</w:t>
      </w:r>
      <w:r w:rsidR="00754670" w:rsidRPr="00EA4B7C">
        <w:t xml:space="preserve"> </w:t>
      </w:r>
      <w:hyperlink r:id="rId9" w:anchor="development" w:history="1">
        <w:r w:rsidR="00573C5A" w:rsidRPr="00EA4B7C">
          <w:t>development</w:t>
        </w:r>
      </w:hyperlink>
      <w:r w:rsidR="00754670" w:rsidRPr="00EA4B7C">
        <w:t xml:space="preserve"> </w:t>
      </w:r>
      <w:r w:rsidR="00573C5A" w:rsidRPr="00EA4B7C">
        <w:t>of</w:t>
      </w:r>
      <w:r w:rsidR="00754670" w:rsidRPr="00EA4B7C">
        <w:t xml:space="preserve"> </w:t>
      </w:r>
      <w:hyperlink r:id="rId10" w:anchor="land" w:history="1">
        <w:r w:rsidR="00573C5A" w:rsidRPr="00EA4B7C">
          <w:t>land</w:t>
        </w:r>
      </w:hyperlink>
      <w:r w:rsidR="00754670" w:rsidRPr="00EA4B7C">
        <w:t xml:space="preserve"> in the </w:t>
      </w:r>
      <w:r w:rsidR="00754670" w:rsidRPr="00EA4B7C">
        <w:rPr>
          <w:color w:val="000000"/>
          <w:sz w:val="27"/>
          <w:szCs w:val="27"/>
        </w:rPr>
        <w:t>present and long-term interests of all Victorians.</w:t>
      </w:r>
    </w:p>
    <w:p w14:paraId="29B1FF50" w14:textId="77777777" w:rsidR="008F4341" w:rsidRPr="008F4341" w:rsidRDefault="008F4341" w:rsidP="00573C5A">
      <w:pPr>
        <w:pStyle w:val="Para1"/>
        <w:rPr>
          <w:rFonts w:eastAsiaTheme="minorHAnsi"/>
        </w:rPr>
      </w:pPr>
      <w:r>
        <w:rPr>
          <w:rFonts w:eastAsiaTheme="minorHAnsi"/>
        </w:rPr>
        <w:t>I am satisfied that the design of the extension remains consistent with that of the existing dwelling and those beside it at numbers 4 and 6 Dunoon Road.</w:t>
      </w:r>
    </w:p>
    <w:p w14:paraId="2C9C799A" w14:textId="77777777" w:rsidR="00A10AE6" w:rsidRPr="00EA4B7C" w:rsidRDefault="00A10AE6" w:rsidP="00573C5A">
      <w:pPr>
        <w:pStyle w:val="Para1"/>
        <w:rPr>
          <w:rFonts w:eastAsiaTheme="minorHAnsi"/>
        </w:rPr>
      </w:pPr>
      <w:r>
        <w:rPr>
          <w:color w:val="000000"/>
          <w:sz w:val="27"/>
          <w:szCs w:val="27"/>
        </w:rPr>
        <w:t xml:space="preserve">I am satisfied that the landscape plan of </w:t>
      </w:r>
      <w:r>
        <w:t>Habitat Landscape and Design Consultants can provide a suitable landscape outcome. Amendment of the plan to the satisfaction of the responsible authority could also be appropriate.</w:t>
      </w:r>
    </w:p>
    <w:p w14:paraId="09F1E51C" w14:textId="77777777" w:rsidR="00057004" w:rsidRDefault="00057004" w:rsidP="00DA037E">
      <w:pPr>
        <w:pStyle w:val="Heading2"/>
      </w:pPr>
      <w:r>
        <w:t>What conditions are appropriate?</w:t>
      </w:r>
    </w:p>
    <w:p w14:paraId="1FEF26AF" w14:textId="77777777" w:rsidR="00057004" w:rsidRDefault="00874B73" w:rsidP="00057004">
      <w:pPr>
        <w:pStyle w:val="Para1"/>
      </w:pPr>
      <w:r>
        <w:t>At the conclusion of the hearing the parties indicated that some collaboration had occurred over the Draft conditions submitted to the Tribunal as per the Tribunal’s requirements. Following brief discussion</w:t>
      </w:r>
      <w:r w:rsidR="00A200CF">
        <w:t>,</w:t>
      </w:r>
      <w:r>
        <w:t xml:space="preserve"> I ordered orally that the </w:t>
      </w:r>
      <w:r w:rsidR="00E701AB">
        <w:t xml:space="preserve">Applicant </w:t>
      </w:r>
      <w:r>
        <w:t xml:space="preserve">may submit a </w:t>
      </w:r>
      <w:r w:rsidR="00A97194">
        <w:t xml:space="preserve">suggested amended Draft </w:t>
      </w:r>
      <w:r>
        <w:t>Conditions for the Tribunal’s consideration</w:t>
      </w:r>
      <w:r w:rsidR="00513C44">
        <w:t xml:space="preserve"> without further correspondence being entered into. A submission was duly distributed from the Applicant’s delegate on 14 August 2019. On consideration of all matters before me, I consider the permit conditions at Appendix A to provide for a reasonable planning outcome.</w:t>
      </w:r>
      <w:r>
        <w:t xml:space="preserve"> </w:t>
      </w:r>
    </w:p>
    <w:p w14:paraId="34ABD44D" w14:textId="77777777" w:rsidR="00057004" w:rsidRDefault="00057004" w:rsidP="00057004">
      <w:pPr>
        <w:pStyle w:val="Heading2"/>
      </w:pPr>
      <w:r>
        <w:t>Conclusion</w:t>
      </w:r>
    </w:p>
    <w:p w14:paraId="3EFC67D0" w14:textId="77777777" w:rsidR="00057004" w:rsidRPr="00E701AB" w:rsidRDefault="00057004" w:rsidP="00057004">
      <w:pPr>
        <w:pStyle w:val="Para1"/>
      </w:pPr>
      <w:r w:rsidRPr="00E701AB">
        <w:t xml:space="preserve">For the reasons given above, the decision of the </w:t>
      </w:r>
      <w:r w:rsidR="00BB621F" w:rsidRPr="00E701AB">
        <w:t xml:space="preserve">responsible authority </w:t>
      </w:r>
      <w:r w:rsidRPr="00E701AB">
        <w:t>is set aside.</w:t>
      </w:r>
      <w:r w:rsidR="000D08F7" w:rsidRPr="00E701AB">
        <w:t xml:space="preserve"> </w:t>
      </w:r>
      <w:r w:rsidRPr="00E701AB">
        <w:t>A permit is granted subject to conditions.</w:t>
      </w:r>
    </w:p>
    <w:p w14:paraId="7427683B" w14:textId="77777777" w:rsidR="00057004" w:rsidRDefault="00057004" w:rsidP="00057004"/>
    <w:p w14:paraId="26D69F30" w14:textId="77777777" w:rsidR="00057004" w:rsidRDefault="00057004" w:rsidP="00057004"/>
    <w:p w14:paraId="12A5C2BE" w14:textId="77777777" w:rsidR="00057004" w:rsidRDefault="00057004" w:rsidP="00057004"/>
    <w:tbl>
      <w:tblPr>
        <w:tblW w:w="5000" w:type="pct"/>
        <w:tblLook w:val="0000" w:firstRow="0" w:lastRow="0" w:firstColumn="0" w:lastColumn="0" w:noHBand="0" w:noVBand="0"/>
      </w:tblPr>
      <w:tblGrid>
        <w:gridCol w:w="3423"/>
        <w:gridCol w:w="1659"/>
        <w:gridCol w:w="3423"/>
      </w:tblGrid>
      <w:tr w:rsidR="00057004" w14:paraId="005C3B0A" w14:textId="77777777" w:rsidTr="000D08F7">
        <w:tc>
          <w:tcPr>
            <w:tcW w:w="2012" w:type="pct"/>
          </w:tcPr>
          <w:p w14:paraId="7C2C9F61" w14:textId="77777777" w:rsidR="00057004" w:rsidRPr="00B876A2" w:rsidRDefault="00513C44" w:rsidP="000D08F7">
            <w:pPr>
              <w:rPr>
                <w:b/>
              </w:rPr>
            </w:pPr>
            <w:r>
              <w:rPr>
                <w:b/>
              </w:rPr>
              <w:t>Graeme David</w:t>
            </w:r>
          </w:p>
          <w:p w14:paraId="56EB3A75" w14:textId="77777777" w:rsidR="00057004" w:rsidRDefault="00057004" w:rsidP="000D08F7">
            <w:pPr>
              <w:tabs>
                <w:tab w:val="left" w:pos="1515"/>
              </w:tabs>
              <w:rPr>
                <w:b/>
              </w:rPr>
            </w:pPr>
            <w:r>
              <w:rPr>
                <w:b/>
              </w:rPr>
              <w:t>Member</w:t>
            </w:r>
          </w:p>
        </w:tc>
        <w:tc>
          <w:tcPr>
            <w:tcW w:w="975" w:type="pct"/>
          </w:tcPr>
          <w:p w14:paraId="192E7BD7" w14:textId="77777777" w:rsidR="00057004" w:rsidRDefault="00057004" w:rsidP="000D08F7"/>
        </w:tc>
        <w:tc>
          <w:tcPr>
            <w:tcW w:w="2012" w:type="pct"/>
          </w:tcPr>
          <w:p w14:paraId="275198B6" w14:textId="77777777" w:rsidR="00057004" w:rsidRDefault="00057004" w:rsidP="000D08F7"/>
        </w:tc>
      </w:tr>
    </w:tbl>
    <w:p w14:paraId="6D519598" w14:textId="77777777" w:rsidR="00057004" w:rsidRDefault="00057004" w:rsidP="00057004">
      <w:r>
        <w:br w:type="page"/>
      </w:r>
    </w:p>
    <w:p w14:paraId="6DE4D371" w14:textId="342F1DE9" w:rsidR="00057004" w:rsidRDefault="00A65F4D" w:rsidP="00057004">
      <w:pPr>
        <w:pStyle w:val="Heading1"/>
      </w:pPr>
      <w:r>
        <w:rPr>
          <w:noProof/>
          <w:lang w:eastAsia="en-AU"/>
        </w:rPr>
        <w:lastRenderedPageBreak/>
        <w:drawing>
          <wp:anchor distT="0" distB="0" distL="114300" distR="114300" simplePos="0" relativeHeight="251669504" behindDoc="1" locked="0" layoutInCell="1" allowOverlap="1" wp14:anchorId="0E9B3150" wp14:editId="3DE029E4">
            <wp:simplePos x="0" y="0"/>
            <wp:positionH relativeFrom="column">
              <wp:posOffset>5183505</wp:posOffset>
            </wp:positionH>
            <wp:positionV relativeFrom="paragraph">
              <wp:posOffset>8459470</wp:posOffset>
            </wp:positionV>
            <wp:extent cx="1080000" cy="1080000"/>
            <wp:effectExtent l="0" t="0" r="6350" b="6350"/>
            <wp:wrapNone/>
            <wp:docPr id="24" name="VCAT Seal12"/>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Appendix A – Permit Conditions</w:t>
      </w:r>
    </w:p>
    <w:p w14:paraId="7E907B93" w14:textId="77777777" w:rsidR="00057004" w:rsidRPr="003E6003" w:rsidRDefault="00057004" w:rsidP="000570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057004" w14:paraId="001FB473" w14:textId="77777777" w:rsidTr="00A25C3A">
        <w:tc>
          <w:tcPr>
            <w:tcW w:w="3727" w:type="dxa"/>
            <w:shd w:val="clear" w:color="auto" w:fill="auto"/>
          </w:tcPr>
          <w:p w14:paraId="07E1BB67" w14:textId="77777777" w:rsidR="00057004" w:rsidRDefault="00057004" w:rsidP="000D08F7">
            <w:pPr>
              <w:pStyle w:val="TitlePage2"/>
            </w:pPr>
            <w:r>
              <w:t>Permit Application No</w:t>
            </w:r>
          </w:p>
        </w:tc>
        <w:tc>
          <w:tcPr>
            <w:tcW w:w="4768" w:type="dxa"/>
            <w:shd w:val="clear" w:color="auto" w:fill="auto"/>
          </w:tcPr>
          <w:p w14:paraId="79DF21C6" w14:textId="77777777" w:rsidR="00057004" w:rsidRDefault="00E701AB" w:rsidP="000D08F7">
            <w:pPr>
              <w:pStyle w:val="TitlePagetext"/>
            </w:pPr>
            <w:r>
              <w:t>TPA/48468/A</w:t>
            </w:r>
          </w:p>
        </w:tc>
      </w:tr>
      <w:tr w:rsidR="00057004" w14:paraId="60844A0C" w14:textId="77777777" w:rsidTr="00A25C3A">
        <w:tc>
          <w:tcPr>
            <w:tcW w:w="3727" w:type="dxa"/>
            <w:shd w:val="clear" w:color="auto" w:fill="auto"/>
          </w:tcPr>
          <w:p w14:paraId="5B5A5BA5" w14:textId="77777777" w:rsidR="00057004" w:rsidRDefault="00057004" w:rsidP="000D08F7">
            <w:pPr>
              <w:pStyle w:val="TitlePage2"/>
            </w:pPr>
            <w:r>
              <w:t>Land</w:t>
            </w:r>
          </w:p>
        </w:tc>
        <w:tc>
          <w:tcPr>
            <w:tcW w:w="4768" w:type="dxa"/>
            <w:shd w:val="clear" w:color="auto" w:fill="auto"/>
          </w:tcPr>
          <w:p w14:paraId="347AA7CE" w14:textId="77777777" w:rsidR="00057004" w:rsidRDefault="00E701AB" w:rsidP="000D08F7">
            <w:pPr>
              <w:pStyle w:val="TitlePagetext"/>
            </w:pPr>
            <w:r>
              <w:t>1/6 Dunoon Street, Mulgrave</w:t>
            </w:r>
          </w:p>
        </w:tc>
      </w:tr>
      <w:tr w:rsidR="00057004" w14:paraId="485F1219" w14:textId="77777777" w:rsidTr="00A25C3A">
        <w:tblPrEx>
          <w:tblBorders>
            <w:insideH w:val="none" w:sz="0" w:space="0" w:color="auto"/>
            <w:insideV w:val="none" w:sz="0" w:space="0" w:color="auto"/>
          </w:tblBorders>
        </w:tblPrEx>
        <w:tc>
          <w:tcPr>
            <w:tcW w:w="8495" w:type="dxa"/>
            <w:gridSpan w:val="2"/>
            <w:shd w:val="clear" w:color="auto" w:fill="auto"/>
          </w:tcPr>
          <w:p w14:paraId="4E19A1C0" w14:textId="77777777" w:rsidR="00057004" w:rsidRPr="00C07B3C" w:rsidRDefault="00057004" w:rsidP="000D08F7">
            <w:pPr>
              <w:pStyle w:val="TitlePage2"/>
              <w:jc w:val="center"/>
              <w:rPr>
                <w:bCs/>
              </w:rPr>
            </w:pPr>
            <w:r w:rsidRPr="00C07B3C">
              <w:rPr>
                <w:bCs/>
              </w:rPr>
              <w:t>What the permit allowS</w:t>
            </w:r>
          </w:p>
        </w:tc>
      </w:tr>
      <w:tr w:rsidR="00057004" w14:paraId="6517E62A" w14:textId="77777777" w:rsidTr="00A25C3A">
        <w:tblPrEx>
          <w:tblBorders>
            <w:insideH w:val="none" w:sz="0" w:space="0" w:color="auto"/>
            <w:insideV w:val="none" w:sz="0" w:space="0" w:color="auto"/>
          </w:tblBorders>
        </w:tblPrEx>
        <w:tc>
          <w:tcPr>
            <w:tcW w:w="8495" w:type="dxa"/>
            <w:gridSpan w:val="2"/>
            <w:shd w:val="clear" w:color="auto" w:fill="auto"/>
          </w:tcPr>
          <w:p w14:paraId="024630A3" w14:textId="77777777" w:rsidR="00513C44" w:rsidRPr="00290240" w:rsidRDefault="00513C44" w:rsidP="00A25C3A">
            <w:pPr>
              <w:pStyle w:val="Order1"/>
              <w:numPr>
                <w:ilvl w:val="0"/>
                <w:numId w:val="37"/>
              </w:numPr>
            </w:pPr>
            <w:r w:rsidRPr="00290240">
              <w:t>Extension of a dwelling on a lot less than 500 square metres</w:t>
            </w:r>
          </w:p>
          <w:p w14:paraId="59C491BD" w14:textId="77777777" w:rsidR="00057004" w:rsidRPr="00AC5E01" w:rsidRDefault="00A25C3A" w:rsidP="003C0853">
            <w:pPr>
              <w:pStyle w:val="Order1"/>
              <w:rPr>
                <w:highlight w:val="yellow"/>
              </w:rPr>
            </w:pPr>
            <w:r>
              <w:t>i</w:t>
            </w:r>
            <w:r w:rsidR="00057004">
              <w:t>n accordance with the endorsed plans</w:t>
            </w:r>
            <w:r w:rsidR="003C0853">
              <w:t>.</w:t>
            </w:r>
          </w:p>
        </w:tc>
      </w:tr>
    </w:tbl>
    <w:p w14:paraId="60E5B651" w14:textId="77777777" w:rsidR="003C0853" w:rsidRDefault="003C0853" w:rsidP="003C0853"/>
    <w:p w14:paraId="67903231" w14:textId="77777777" w:rsidR="003C0853" w:rsidRPr="003C0853" w:rsidRDefault="003C0853" w:rsidP="003C0853">
      <w:pPr>
        <w:pStyle w:val="Condition2"/>
        <w:rPr>
          <w:rFonts w:eastAsia="Calibri"/>
        </w:rPr>
      </w:pPr>
      <w:r w:rsidRPr="003C0853">
        <w:t>The plans to be endorsed and which will then form part of the permit are the plans identified as: A01 and A02, revision i, dated 22nd May 2019, prepared by Natasha Levan</w:t>
      </w:r>
      <w:r w:rsidR="00E701AB">
        <w:t>,</w:t>
      </w:r>
      <w:r w:rsidRPr="003C0853">
        <w:t xml:space="preserve"> and Landscape Plan, sheet 1 of 1, prepared by Habitat</w:t>
      </w:r>
      <w:r w:rsidR="00E701AB">
        <w:t xml:space="preserve"> Landscape and Design Consultants,</w:t>
      </w:r>
      <w:r w:rsidRPr="003C0853">
        <w:t xml:space="preserve"> and dated May 2019</w:t>
      </w:r>
      <w:r w:rsidR="005A3679">
        <w:t>.</w:t>
      </w:r>
    </w:p>
    <w:p w14:paraId="21E269CE" w14:textId="77777777" w:rsidR="005A3679" w:rsidRDefault="003C0853" w:rsidP="00977114">
      <w:pPr>
        <w:pStyle w:val="Condition2"/>
      </w:pPr>
      <w:r w:rsidRPr="005A3679">
        <w:rPr>
          <w:rFonts w:eastAsia="Calibri"/>
        </w:rPr>
        <w:t>The development</w:t>
      </w:r>
      <w:r w:rsidR="00E701AB" w:rsidRPr="005A3679">
        <w:rPr>
          <w:rFonts w:eastAsia="Calibri"/>
        </w:rPr>
        <w:t xml:space="preserve"> as</w:t>
      </w:r>
      <w:r w:rsidRPr="005A3679">
        <w:rPr>
          <w:rFonts w:eastAsia="Calibri"/>
        </w:rPr>
        <w:t xml:space="preserve"> shown on the endorsed plans must not be altered without the written consent of the </w:t>
      </w:r>
      <w:r w:rsidR="00E701AB" w:rsidRPr="005A3679">
        <w:rPr>
          <w:rFonts w:eastAsia="Calibri"/>
        </w:rPr>
        <w:t>r</w:t>
      </w:r>
      <w:r w:rsidRPr="005A3679">
        <w:rPr>
          <w:rFonts w:eastAsia="Calibri"/>
        </w:rPr>
        <w:t xml:space="preserve">esponsible </w:t>
      </w:r>
      <w:r w:rsidR="00E701AB" w:rsidRPr="005A3679">
        <w:rPr>
          <w:rFonts w:eastAsia="Calibri"/>
        </w:rPr>
        <w:t>a</w:t>
      </w:r>
      <w:r w:rsidRPr="005A3679">
        <w:rPr>
          <w:rFonts w:eastAsia="Calibri"/>
        </w:rPr>
        <w:t>uthority.</w:t>
      </w:r>
    </w:p>
    <w:p w14:paraId="0601BBD0" w14:textId="77777777" w:rsidR="003C0853" w:rsidRPr="001B72C0" w:rsidRDefault="003C0853" w:rsidP="003C0853">
      <w:pPr>
        <w:pStyle w:val="Condition2"/>
      </w:pPr>
      <w:r w:rsidRPr="001B72C0">
        <w:t>All on-site stormwater is to be collected from hard surface areas and must not be allowed to flow uncontrolled into adjoining properties</w:t>
      </w:r>
      <w:r>
        <w:t>.</w:t>
      </w:r>
    </w:p>
    <w:p w14:paraId="0B8EC1FA" w14:textId="77777777" w:rsidR="003C0853" w:rsidRPr="001B72C0" w:rsidRDefault="003C0853" w:rsidP="003C0853">
      <w:pPr>
        <w:pStyle w:val="Condition2"/>
      </w:pPr>
      <w:r w:rsidRPr="001B72C0">
        <w:t xml:space="preserve">This permit will expire in accordance with section 68 of the </w:t>
      </w:r>
      <w:r w:rsidRPr="005A3679">
        <w:rPr>
          <w:i/>
        </w:rPr>
        <w:t>Planning and Environment Act 1987</w:t>
      </w:r>
      <w:r w:rsidRPr="001B72C0">
        <w:t>, if one of the following circumstances applies</w:t>
      </w:r>
    </w:p>
    <w:p w14:paraId="7EB45C1F" w14:textId="77777777" w:rsidR="003C0853" w:rsidRPr="001B72C0" w:rsidRDefault="003C0853" w:rsidP="003C0853">
      <w:pPr>
        <w:pStyle w:val="Condition2"/>
        <w:numPr>
          <w:ilvl w:val="1"/>
          <w:numId w:val="7"/>
        </w:numPr>
      </w:pPr>
      <w:r w:rsidRPr="001B72C0">
        <w:t>The development is not started before 2 years from the date of issue</w:t>
      </w:r>
      <w:r w:rsidR="00E701AB">
        <w:t>.</w:t>
      </w:r>
    </w:p>
    <w:p w14:paraId="683F1C54" w14:textId="77777777" w:rsidR="003C0853" w:rsidRPr="001B72C0" w:rsidRDefault="003C0853" w:rsidP="003C0853">
      <w:pPr>
        <w:pStyle w:val="Condition2"/>
        <w:numPr>
          <w:ilvl w:val="1"/>
          <w:numId w:val="7"/>
        </w:numPr>
      </w:pPr>
      <w:r w:rsidRPr="001B72C0">
        <w:t>The development is not completed before 4 years from the date of issue</w:t>
      </w:r>
      <w:r w:rsidR="00E701AB">
        <w:t>.</w:t>
      </w:r>
    </w:p>
    <w:p w14:paraId="582EA126" w14:textId="77777777" w:rsidR="003C0853" w:rsidRDefault="003C0853" w:rsidP="003C0853">
      <w:pPr>
        <w:pStyle w:val="Condition3"/>
      </w:pPr>
      <w:r w:rsidRPr="001B72C0">
        <w:rPr>
          <w:rFonts w:eastAsia="Calibri"/>
        </w:rPr>
        <w:t xml:space="preserve">In accordance with section 69 of the </w:t>
      </w:r>
      <w:r w:rsidRPr="001B72C0">
        <w:rPr>
          <w:rFonts w:eastAsia="Calibri"/>
          <w:i/>
          <w:iCs/>
        </w:rPr>
        <w:t>Planning and Environment Act 1987</w:t>
      </w:r>
      <w:r w:rsidRPr="001B72C0">
        <w:rPr>
          <w:rFonts w:eastAsia="Calibri"/>
        </w:rP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r w:rsidR="00A76FC8">
        <w:rPr>
          <w:rFonts w:eastAsia="Calibri"/>
        </w:rPr>
        <w:t>.</w:t>
      </w:r>
    </w:p>
    <w:p w14:paraId="0FE91875" w14:textId="77777777" w:rsidR="003C0853" w:rsidRDefault="003C0853" w:rsidP="003C0853"/>
    <w:p w14:paraId="7C5BF852" w14:textId="77777777" w:rsidR="003C0853" w:rsidRDefault="003C0853" w:rsidP="003C0853"/>
    <w:p w14:paraId="6F526E5A" w14:textId="77777777" w:rsidR="00057004" w:rsidRDefault="00057004" w:rsidP="00057004">
      <w:pPr>
        <w:pStyle w:val="Order1"/>
        <w:jc w:val="center"/>
        <w:rPr>
          <w:b/>
        </w:rPr>
      </w:pPr>
      <w:r>
        <w:rPr>
          <w:b/>
        </w:rPr>
        <w:t>– End of conditions –</w:t>
      </w:r>
    </w:p>
    <w:sectPr w:rsidR="00057004">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C2D03" w14:textId="77777777" w:rsidR="000E19D7" w:rsidRDefault="000E19D7">
      <w:r>
        <w:separator/>
      </w:r>
    </w:p>
  </w:endnote>
  <w:endnote w:type="continuationSeparator" w:id="0">
    <w:p w14:paraId="0FD128AF" w14:textId="77777777" w:rsidR="000E19D7" w:rsidRDefault="000E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5B6D59" w14:paraId="75CB91F6" w14:textId="77777777">
      <w:trPr>
        <w:cantSplit/>
      </w:trPr>
      <w:tc>
        <w:tcPr>
          <w:tcW w:w="3884" w:type="pct"/>
        </w:tcPr>
        <w:p w14:paraId="2673AAE8" w14:textId="77777777" w:rsidR="005B6D59" w:rsidRDefault="005B6D59">
          <w:pPr>
            <w:pStyle w:val="Footer"/>
            <w:spacing w:beforeLines="60" w:before="144"/>
            <w:rPr>
              <w:rFonts w:cs="Arial"/>
              <w:sz w:val="18"/>
              <w:szCs w:val="18"/>
            </w:rPr>
          </w:pPr>
          <w:bookmarkStart w:id="25" w:name="FooterDescription"/>
          <w:bookmarkStart w:id="26" w:name="FooterFileNo1"/>
          <w:bookmarkEnd w:id="25"/>
          <w:bookmarkEnd w:id="26"/>
          <w:r>
            <w:rPr>
              <w:rFonts w:cs="Arial"/>
              <w:sz w:val="18"/>
              <w:szCs w:val="18"/>
            </w:rPr>
            <w:t>VCAT Reference No. P448/2019</w:t>
          </w:r>
        </w:p>
      </w:tc>
      <w:tc>
        <w:tcPr>
          <w:tcW w:w="1116" w:type="pct"/>
        </w:tcPr>
        <w:p w14:paraId="3E705076" w14:textId="50C3638F" w:rsidR="005B6D59" w:rsidRDefault="005B6D59">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976361">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976361">
            <w:rPr>
              <w:rFonts w:cs="Arial"/>
              <w:noProof/>
              <w:sz w:val="18"/>
              <w:szCs w:val="18"/>
            </w:rPr>
            <w:t>12</w:t>
          </w:r>
          <w:r>
            <w:rPr>
              <w:rFonts w:cs="Arial"/>
              <w:sz w:val="18"/>
              <w:szCs w:val="18"/>
            </w:rPr>
            <w:fldChar w:fldCharType="end"/>
          </w:r>
        </w:p>
      </w:tc>
    </w:tr>
  </w:tbl>
  <w:p w14:paraId="1DAB7511" w14:textId="77777777" w:rsidR="005B6D59" w:rsidRDefault="005B6D59">
    <w:pPr>
      <w:pStyle w:val="Footer"/>
      <w:rPr>
        <w:sz w:val="2"/>
      </w:rPr>
    </w:pPr>
  </w:p>
  <w:p w14:paraId="55B6D9D4" w14:textId="77777777" w:rsidR="005B6D59" w:rsidRDefault="005B6D59">
    <w:pPr>
      <w:rPr>
        <w:sz w:val="2"/>
      </w:rPr>
    </w:pPr>
  </w:p>
  <w:p w14:paraId="62CF6CE2" w14:textId="77777777" w:rsidR="005B6D59" w:rsidRDefault="005B6D5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0BDEF" w14:textId="77777777" w:rsidR="000E19D7" w:rsidRDefault="000E19D7">
      <w:pPr>
        <w:pStyle w:val="Footer"/>
        <w:pBdr>
          <w:top w:val="single" w:sz="4" w:space="1" w:color="auto"/>
        </w:pBdr>
        <w:rPr>
          <w:sz w:val="12"/>
        </w:rPr>
      </w:pPr>
    </w:p>
  </w:footnote>
  <w:footnote w:type="continuationSeparator" w:id="0">
    <w:p w14:paraId="640AE7C1" w14:textId="77777777" w:rsidR="000E19D7" w:rsidRDefault="000E19D7">
      <w:r>
        <w:continuationSeparator/>
      </w:r>
    </w:p>
  </w:footnote>
  <w:footnote w:id="1">
    <w:p w14:paraId="4860699B" w14:textId="77777777" w:rsidR="005B6D59" w:rsidRDefault="005B6D59" w:rsidP="00057004">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35C04357" w14:textId="77777777" w:rsidR="005B6D59" w:rsidRDefault="005B6D59">
      <w:pPr>
        <w:pStyle w:val="FootnoteText"/>
      </w:pPr>
      <w:r>
        <w:rPr>
          <w:rStyle w:val="FootnoteReference"/>
        </w:rPr>
        <w:footnoteRef/>
      </w:r>
      <w:r>
        <w:t xml:space="preserve"> </w:t>
      </w:r>
      <w:r>
        <w:tab/>
        <w:t xml:space="preserve">Proposed </w:t>
      </w:r>
      <w:r w:rsidRPr="00CF5D0D">
        <w:rPr>
          <w:i/>
        </w:rPr>
        <w:t>Planning Scheme Amendment C125</w:t>
      </w:r>
      <w:r>
        <w:t xml:space="preserve"> would rezone the area containing the review site to GRZ3 and implement the </w:t>
      </w:r>
      <w:r w:rsidRPr="00CF5D0D">
        <w:rPr>
          <w:i/>
        </w:rPr>
        <w:t>Monash Housing Strategy 2015</w:t>
      </w:r>
      <w:r>
        <w:t>. The Amendment is with the Minister for approval and at the time of this decision GRZ2 remains the relevant zone Schedule.</w:t>
      </w:r>
    </w:p>
  </w:footnote>
  <w:footnote w:id="3">
    <w:p w14:paraId="2BE426E4" w14:textId="77777777" w:rsidR="005B6D59" w:rsidRPr="00FD7D3A" w:rsidRDefault="005B6D59" w:rsidP="00FD7D3A">
      <w:pPr>
        <w:rPr>
          <w:sz w:val="16"/>
          <w:szCs w:val="16"/>
        </w:rPr>
      </w:pPr>
      <w:r w:rsidRPr="00FD7D3A">
        <w:rPr>
          <w:rStyle w:val="FootnoteReference"/>
          <w:sz w:val="16"/>
          <w:szCs w:val="16"/>
        </w:rPr>
        <w:footnoteRef/>
      </w:r>
      <w:r w:rsidRPr="00FD7D3A">
        <w:t xml:space="preserve"> </w:t>
      </w:r>
      <w:r w:rsidRPr="00FD7D3A">
        <w:tab/>
      </w:r>
      <w:r w:rsidRPr="00FD7D3A">
        <w:rPr>
          <w:sz w:val="16"/>
          <w:szCs w:val="16"/>
          <w:lang w:eastAsia="en-AU"/>
        </w:rPr>
        <w:t xml:space="preserve">Practice Note - PNPE9 - </w:t>
      </w:r>
      <w:r w:rsidRPr="00FD7D3A">
        <w:rPr>
          <w:i/>
          <w:sz w:val="16"/>
          <w:szCs w:val="16"/>
          <w:lang w:eastAsia="en-AU"/>
        </w:rPr>
        <w:t>Amendment of Plans and Applications</w:t>
      </w:r>
    </w:p>
  </w:footnote>
  <w:footnote w:id="4">
    <w:p w14:paraId="6AB4BAD6" w14:textId="77777777" w:rsidR="005B6D59" w:rsidRPr="00FD7D3A" w:rsidRDefault="005B6D59" w:rsidP="00255AC3">
      <w:pPr>
        <w:pStyle w:val="FootnoteText"/>
        <w:tabs>
          <w:tab w:val="left" w:pos="540"/>
        </w:tabs>
        <w:rPr>
          <w:sz w:val="16"/>
          <w:szCs w:val="16"/>
        </w:rPr>
      </w:pPr>
      <w:r>
        <w:rPr>
          <w:rStyle w:val="FootnoteReference"/>
        </w:rPr>
        <w:footnoteRef/>
      </w:r>
      <w:r>
        <w:t xml:space="preserve"> </w:t>
      </w:r>
      <w:r>
        <w:tab/>
      </w:r>
      <w:r w:rsidRPr="007C3404">
        <w:rPr>
          <w:sz w:val="16"/>
          <w:szCs w:val="16"/>
        </w:rPr>
        <w:t xml:space="preserve">Section 4 </w:t>
      </w:r>
      <w:r>
        <w:rPr>
          <w:sz w:val="16"/>
          <w:szCs w:val="16"/>
        </w:rPr>
        <w:t xml:space="preserve">of the </w:t>
      </w:r>
      <w:r w:rsidRPr="007C3404">
        <w:rPr>
          <w:i/>
          <w:sz w:val="16"/>
          <w:szCs w:val="16"/>
        </w:rPr>
        <w:t>Planning and Environment Act</w:t>
      </w:r>
      <w:r w:rsidRPr="007C3404">
        <w:rPr>
          <w:sz w:val="16"/>
          <w:szCs w:val="16"/>
        </w:rPr>
        <w:t xml:space="preserve"> 1987</w:t>
      </w:r>
      <w:r>
        <w:t>.</w:t>
      </w:r>
    </w:p>
  </w:footnote>
  <w:footnote w:id="5">
    <w:p w14:paraId="3270A4EB" w14:textId="77777777" w:rsidR="005B6D59" w:rsidRDefault="005B6D59">
      <w:pPr>
        <w:pStyle w:val="FootnoteText"/>
      </w:pPr>
      <w:r>
        <w:rPr>
          <w:rStyle w:val="FootnoteReference"/>
        </w:rPr>
        <w:footnoteRef/>
      </w:r>
      <w:r>
        <w:t xml:space="preserve"> </w:t>
      </w:r>
      <w:r>
        <w:tab/>
        <w:t xml:space="preserve"> Condensed from the full content</w:t>
      </w:r>
      <w:r w:rsidR="00EA0042">
        <w:t xml:space="preserve"> </w:t>
      </w:r>
      <w:r>
        <w:t xml:space="preserve">in the Applicant’s Tribunal submission.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5A28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4C2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FCD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08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520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34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220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CE52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965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A41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0AA81283"/>
    <w:multiLevelType w:val="hybridMultilevel"/>
    <w:tmpl w:val="EECA8414"/>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1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DD44F6"/>
    <w:multiLevelType w:val="hybridMultilevel"/>
    <w:tmpl w:val="830250F8"/>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15:restartNumberingAfterBreak="0">
    <w:nsid w:val="20657E3F"/>
    <w:multiLevelType w:val="hybridMultilevel"/>
    <w:tmpl w:val="BBE6072E"/>
    <w:lvl w:ilvl="0" w:tplc="B3F0770E">
      <w:start w:val="1"/>
      <w:numFmt w:val="decimal"/>
      <w:lvlText w:val="%1."/>
      <w:lvlJc w:val="left"/>
      <w:pPr>
        <w:ind w:left="121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C456CB"/>
    <w:multiLevelType w:val="multilevel"/>
    <w:tmpl w:val="11A66B88"/>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301273"/>
    <w:multiLevelType w:val="singleLevel"/>
    <w:tmpl w:val="0F48A72E"/>
    <w:lvl w:ilvl="0">
      <w:start w:val="1"/>
      <w:numFmt w:val="lowerLetter"/>
      <w:lvlText w:val="%1)"/>
      <w:lvlJc w:val="left"/>
      <w:pPr>
        <w:tabs>
          <w:tab w:val="num" w:pos="567"/>
        </w:tabs>
        <w:ind w:left="567" w:hanging="567"/>
      </w:pPr>
      <w:rPr>
        <w:b w:val="0"/>
        <w:i w:val="0"/>
        <w:sz w:val="24"/>
      </w:rPr>
    </w:lvl>
  </w:abstractNum>
  <w:abstractNum w:abstractNumId="2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453613"/>
    <w:multiLevelType w:val="hybridMultilevel"/>
    <w:tmpl w:val="FD3A3F8E"/>
    <w:lvl w:ilvl="0" w:tplc="0C09000F">
      <w:start w:val="1"/>
      <w:numFmt w:val="decimal"/>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22"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57118"/>
    <w:multiLevelType w:val="hybridMultilevel"/>
    <w:tmpl w:val="E13A2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8E2270"/>
    <w:multiLevelType w:val="hybridMultilevel"/>
    <w:tmpl w:val="5C7A2BB4"/>
    <w:lvl w:ilvl="0" w:tplc="FFFFFFFF">
      <w:start w:val="1"/>
      <w:numFmt w:val="bullet"/>
      <w:lvlText w:val=""/>
      <w:lvlJc w:val="left"/>
      <w:pPr>
        <w:tabs>
          <w:tab w:val="num" w:pos="1134"/>
        </w:tabs>
        <w:ind w:left="1134" w:hanging="567"/>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11"/>
  </w:num>
  <w:num w:numId="3">
    <w:abstractNumId w:val="18"/>
  </w:num>
  <w:num w:numId="4">
    <w:abstractNumId w:val="22"/>
  </w:num>
  <w:num w:numId="5">
    <w:abstractNumId w:val="13"/>
  </w:num>
  <w:num w:numId="6">
    <w:abstractNumId w:val="14"/>
  </w:num>
  <w:num w:numId="7">
    <w:abstractNumId w:val="1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startOverride w:val="1"/>
    </w:lvlOverride>
  </w:num>
  <w:num w:numId="33">
    <w:abstractNumId w:val="15"/>
  </w:num>
  <w:num w:numId="34">
    <w:abstractNumId w:val="24"/>
  </w:num>
  <w:num w:numId="35">
    <w:abstractNumId w:val="19"/>
    <w:lvlOverride w:ilvl="0">
      <w:startOverride w:val="1"/>
    </w:lvlOverride>
  </w:num>
  <w:num w:numId="36">
    <w:abstractNumId w:val="16"/>
  </w:num>
  <w:num w:numId="3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Pl2U9KZSTVHeLcHzwVq3JG3x1+2eB4Nd3VybKHhyNwYiM267wuv39Bv/g+9Cx5+DLSUYFGlG5ee3U+lGP4ewQ==" w:salt="FvB1xudon2M2IAnyhuxyv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EE3BE3"/>
    <w:rsid w:val="0001113F"/>
    <w:rsid w:val="00015F00"/>
    <w:rsid w:val="000269CC"/>
    <w:rsid w:val="00027F01"/>
    <w:rsid w:val="0003220B"/>
    <w:rsid w:val="00047800"/>
    <w:rsid w:val="00057004"/>
    <w:rsid w:val="00061FEB"/>
    <w:rsid w:val="00062780"/>
    <w:rsid w:val="00063C31"/>
    <w:rsid w:val="000854CC"/>
    <w:rsid w:val="0009072B"/>
    <w:rsid w:val="000945F9"/>
    <w:rsid w:val="00094A20"/>
    <w:rsid w:val="000B0705"/>
    <w:rsid w:val="000B39CE"/>
    <w:rsid w:val="000D08F7"/>
    <w:rsid w:val="000E19D7"/>
    <w:rsid w:val="000F36CE"/>
    <w:rsid w:val="000F4E28"/>
    <w:rsid w:val="000F7FA5"/>
    <w:rsid w:val="0010369B"/>
    <w:rsid w:val="00110F95"/>
    <w:rsid w:val="00124C1E"/>
    <w:rsid w:val="0015040B"/>
    <w:rsid w:val="00152541"/>
    <w:rsid w:val="001567AE"/>
    <w:rsid w:val="00157E31"/>
    <w:rsid w:val="0016093F"/>
    <w:rsid w:val="00163377"/>
    <w:rsid w:val="00167876"/>
    <w:rsid w:val="001708C4"/>
    <w:rsid w:val="0018330C"/>
    <w:rsid w:val="001A61B5"/>
    <w:rsid w:val="001B1245"/>
    <w:rsid w:val="001B1FE9"/>
    <w:rsid w:val="001B5DDC"/>
    <w:rsid w:val="001E49C7"/>
    <w:rsid w:val="001F27F2"/>
    <w:rsid w:val="001F2D3D"/>
    <w:rsid w:val="001F60E9"/>
    <w:rsid w:val="00204CAC"/>
    <w:rsid w:val="00207813"/>
    <w:rsid w:val="0023472F"/>
    <w:rsid w:val="002420B9"/>
    <w:rsid w:val="00255AC3"/>
    <w:rsid w:val="0028029A"/>
    <w:rsid w:val="0028144B"/>
    <w:rsid w:val="0028244B"/>
    <w:rsid w:val="00290F9B"/>
    <w:rsid w:val="00293A03"/>
    <w:rsid w:val="002A2EF0"/>
    <w:rsid w:val="002A47E1"/>
    <w:rsid w:val="002A52E0"/>
    <w:rsid w:val="002B7051"/>
    <w:rsid w:val="002C1E3C"/>
    <w:rsid w:val="002C235E"/>
    <w:rsid w:val="002C4E90"/>
    <w:rsid w:val="002D05B6"/>
    <w:rsid w:val="002E2332"/>
    <w:rsid w:val="002F27B5"/>
    <w:rsid w:val="00312D8A"/>
    <w:rsid w:val="0031301B"/>
    <w:rsid w:val="003134EE"/>
    <w:rsid w:val="00320FF8"/>
    <w:rsid w:val="0032102D"/>
    <w:rsid w:val="00322661"/>
    <w:rsid w:val="0034213D"/>
    <w:rsid w:val="00342549"/>
    <w:rsid w:val="003546AB"/>
    <w:rsid w:val="00361E5C"/>
    <w:rsid w:val="00361EF0"/>
    <w:rsid w:val="003644B7"/>
    <w:rsid w:val="003813E9"/>
    <w:rsid w:val="003B5E75"/>
    <w:rsid w:val="003C0853"/>
    <w:rsid w:val="003D546E"/>
    <w:rsid w:val="003D5D40"/>
    <w:rsid w:val="003D7278"/>
    <w:rsid w:val="003E11C8"/>
    <w:rsid w:val="00415FF4"/>
    <w:rsid w:val="004165A7"/>
    <w:rsid w:val="00416F3A"/>
    <w:rsid w:val="004221A5"/>
    <w:rsid w:val="00434BAA"/>
    <w:rsid w:val="00450308"/>
    <w:rsid w:val="00450CA8"/>
    <w:rsid w:val="00452FA2"/>
    <w:rsid w:val="00467B86"/>
    <w:rsid w:val="004713C0"/>
    <w:rsid w:val="00477574"/>
    <w:rsid w:val="004908EE"/>
    <w:rsid w:val="004919B5"/>
    <w:rsid w:val="00494D55"/>
    <w:rsid w:val="00495762"/>
    <w:rsid w:val="004A222B"/>
    <w:rsid w:val="004B3605"/>
    <w:rsid w:val="004B40DA"/>
    <w:rsid w:val="004B43BF"/>
    <w:rsid w:val="004D2122"/>
    <w:rsid w:val="004F54C1"/>
    <w:rsid w:val="00507771"/>
    <w:rsid w:val="00510802"/>
    <w:rsid w:val="00511973"/>
    <w:rsid w:val="00513C44"/>
    <w:rsid w:val="00514C41"/>
    <w:rsid w:val="00517ECD"/>
    <w:rsid w:val="005320F7"/>
    <w:rsid w:val="00547187"/>
    <w:rsid w:val="00570C5D"/>
    <w:rsid w:val="00573C5A"/>
    <w:rsid w:val="0058084D"/>
    <w:rsid w:val="0059145F"/>
    <w:rsid w:val="005A3679"/>
    <w:rsid w:val="005B3D5D"/>
    <w:rsid w:val="005B6D59"/>
    <w:rsid w:val="005D408F"/>
    <w:rsid w:val="005D6C47"/>
    <w:rsid w:val="005D77CE"/>
    <w:rsid w:val="005E1511"/>
    <w:rsid w:val="005E2D20"/>
    <w:rsid w:val="005E4824"/>
    <w:rsid w:val="005E7C66"/>
    <w:rsid w:val="005F6FDD"/>
    <w:rsid w:val="0060035B"/>
    <w:rsid w:val="00604881"/>
    <w:rsid w:val="0061391E"/>
    <w:rsid w:val="00613939"/>
    <w:rsid w:val="00623D1B"/>
    <w:rsid w:val="00627C2C"/>
    <w:rsid w:val="00627C8F"/>
    <w:rsid w:val="00633F7E"/>
    <w:rsid w:val="006362A2"/>
    <w:rsid w:val="00647F43"/>
    <w:rsid w:val="0065286C"/>
    <w:rsid w:val="0065338E"/>
    <w:rsid w:val="006549EF"/>
    <w:rsid w:val="006579FF"/>
    <w:rsid w:val="00680AFF"/>
    <w:rsid w:val="00682C14"/>
    <w:rsid w:val="006A2D32"/>
    <w:rsid w:val="006C7549"/>
    <w:rsid w:val="006E060E"/>
    <w:rsid w:val="006E7914"/>
    <w:rsid w:val="006E7F23"/>
    <w:rsid w:val="00705098"/>
    <w:rsid w:val="007235F8"/>
    <w:rsid w:val="00726365"/>
    <w:rsid w:val="007301D6"/>
    <w:rsid w:val="00734AF1"/>
    <w:rsid w:val="00742A9A"/>
    <w:rsid w:val="00742B79"/>
    <w:rsid w:val="00754670"/>
    <w:rsid w:val="00763504"/>
    <w:rsid w:val="00764EDD"/>
    <w:rsid w:val="00776999"/>
    <w:rsid w:val="007853A1"/>
    <w:rsid w:val="007856C2"/>
    <w:rsid w:val="0079593A"/>
    <w:rsid w:val="00796305"/>
    <w:rsid w:val="007B32C9"/>
    <w:rsid w:val="007C4B5A"/>
    <w:rsid w:val="007D05E7"/>
    <w:rsid w:val="007D4179"/>
    <w:rsid w:val="007D487A"/>
    <w:rsid w:val="007D6DD5"/>
    <w:rsid w:val="007E3C2A"/>
    <w:rsid w:val="007F601B"/>
    <w:rsid w:val="007F69AD"/>
    <w:rsid w:val="007F77A1"/>
    <w:rsid w:val="00805998"/>
    <w:rsid w:val="008128BB"/>
    <w:rsid w:val="00812BED"/>
    <w:rsid w:val="00812EEA"/>
    <w:rsid w:val="00816944"/>
    <w:rsid w:val="008265B7"/>
    <w:rsid w:val="00830459"/>
    <w:rsid w:val="0084488B"/>
    <w:rsid w:val="0084497D"/>
    <w:rsid w:val="008602F8"/>
    <w:rsid w:val="00870A14"/>
    <w:rsid w:val="00872BD7"/>
    <w:rsid w:val="00874B73"/>
    <w:rsid w:val="0089673C"/>
    <w:rsid w:val="008A247D"/>
    <w:rsid w:val="008A302A"/>
    <w:rsid w:val="008A46EC"/>
    <w:rsid w:val="008A4FCA"/>
    <w:rsid w:val="008A5793"/>
    <w:rsid w:val="008A7A80"/>
    <w:rsid w:val="008C1674"/>
    <w:rsid w:val="008F4341"/>
    <w:rsid w:val="00923BAA"/>
    <w:rsid w:val="00924205"/>
    <w:rsid w:val="00926A96"/>
    <w:rsid w:val="00932AF9"/>
    <w:rsid w:val="0094148C"/>
    <w:rsid w:val="009435B6"/>
    <w:rsid w:val="00946CD8"/>
    <w:rsid w:val="00956463"/>
    <w:rsid w:val="00976361"/>
    <w:rsid w:val="009804A9"/>
    <w:rsid w:val="00993294"/>
    <w:rsid w:val="009A221D"/>
    <w:rsid w:val="009C06C7"/>
    <w:rsid w:val="009D0685"/>
    <w:rsid w:val="009F6A13"/>
    <w:rsid w:val="00A10AE6"/>
    <w:rsid w:val="00A150D3"/>
    <w:rsid w:val="00A17DB1"/>
    <w:rsid w:val="00A200CF"/>
    <w:rsid w:val="00A202C9"/>
    <w:rsid w:val="00A23D8A"/>
    <w:rsid w:val="00A24335"/>
    <w:rsid w:val="00A25C3A"/>
    <w:rsid w:val="00A30D6A"/>
    <w:rsid w:val="00A35800"/>
    <w:rsid w:val="00A53783"/>
    <w:rsid w:val="00A65F4D"/>
    <w:rsid w:val="00A75733"/>
    <w:rsid w:val="00A76FC8"/>
    <w:rsid w:val="00A97194"/>
    <w:rsid w:val="00AA587E"/>
    <w:rsid w:val="00AB19CA"/>
    <w:rsid w:val="00AB29FA"/>
    <w:rsid w:val="00AC7DC1"/>
    <w:rsid w:val="00AE298A"/>
    <w:rsid w:val="00B03F2E"/>
    <w:rsid w:val="00B134F7"/>
    <w:rsid w:val="00B160AF"/>
    <w:rsid w:val="00B24B9B"/>
    <w:rsid w:val="00B30FB4"/>
    <w:rsid w:val="00B360D1"/>
    <w:rsid w:val="00B36ACB"/>
    <w:rsid w:val="00B371E4"/>
    <w:rsid w:val="00B45BA5"/>
    <w:rsid w:val="00B67F41"/>
    <w:rsid w:val="00B72198"/>
    <w:rsid w:val="00B876A2"/>
    <w:rsid w:val="00BA1951"/>
    <w:rsid w:val="00BB1048"/>
    <w:rsid w:val="00BB621F"/>
    <w:rsid w:val="00BB7851"/>
    <w:rsid w:val="00BC219D"/>
    <w:rsid w:val="00C0701C"/>
    <w:rsid w:val="00C07805"/>
    <w:rsid w:val="00C10388"/>
    <w:rsid w:val="00C26EBF"/>
    <w:rsid w:val="00C43757"/>
    <w:rsid w:val="00C7408F"/>
    <w:rsid w:val="00C75C2B"/>
    <w:rsid w:val="00CA2144"/>
    <w:rsid w:val="00CA2642"/>
    <w:rsid w:val="00CC19B1"/>
    <w:rsid w:val="00CC6FF1"/>
    <w:rsid w:val="00CD1F2A"/>
    <w:rsid w:val="00CF5D0D"/>
    <w:rsid w:val="00D00E32"/>
    <w:rsid w:val="00D03F21"/>
    <w:rsid w:val="00D04E99"/>
    <w:rsid w:val="00D14A42"/>
    <w:rsid w:val="00D23389"/>
    <w:rsid w:val="00D24AFE"/>
    <w:rsid w:val="00D24B15"/>
    <w:rsid w:val="00D44998"/>
    <w:rsid w:val="00D57672"/>
    <w:rsid w:val="00D6081F"/>
    <w:rsid w:val="00D616BA"/>
    <w:rsid w:val="00D64D3E"/>
    <w:rsid w:val="00D6554B"/>
    <w:rsid w:val="00DA037E"/>
    <w:rsid w:val="00DA5F51"/>
    <w:rsid w:val="00DC38FD"/>
    <w:rsid w:val="00DC7C16"/>
    <w:rsid w:val="00DD240D"/>
    <w:rsid w:val="00DE71CB"/>
    <w:rsid w:val="00E002C5"/>
    <w:rsid w:val="00E16E80"/>
    <w:rsid w:val="00E22A2C"/>
    <w:rsid w:val="00E501F4"/>
    <w:rsid w:val="00E50B92"/>
    <w:rsid w:val="00E62037"/>
    <w:rsid w:val="00E701AB"/>
    <w:rsid w:val="00E90B8F"/>
    <w:rsid w:val="00EA0042"/>
    <w:rsid w:val="00EA4B7C"/>
    <w:rsid w:val="00EA5010"/>
    <w:rsid w:val="00EA5975"/>
    <w:rsid w:val="00ED56ED"/>
    <w:rsid w:val="00EE19D8"/>
    <w:rsid w:val="00EE3BE3"/>
    <w:rsid w:val="00EE5E8E"/>
    <w:rsid w:val="00F338E1"/>
    <w:rsid w:val="00F40A75"/>
    <w:rsid w:val="00F55C68"/>
    <w:rsid w:val="00F60617"/>
    <w:rsid w:val="00F773CF"/>
    <w:rsid w:val="00F9058C"/>
    <w:rsid w:val="00F94FD0"/>
    <w:rsid w:val="00F963BA"/>
    <w:rsid w:val="00FC4D3E"/>
    <w:rsid w:val="00FC69D4"/>
    <w:rsid w:val="00FD7D3A"/>
    <w:rsid w:val="00FE7AE5"/>
    <w:rsid w:val="00FF7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0D56C"/>
  <w15:chartTrackingRefBased/>
  <w15:docId w15:val="{D68892DA-D05B-4C53-B7A5-4A792E9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D3A"/>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semiHidden/>
    <w:pPr>
      <w:ind w:left="567" w:hanging="567"/>
    </w:pPr>
    <w:rPr>
      <w:sz w:val="20"/>
      <w:szCs w:val="20"/>
    </w:rPr>
  </w:style>
  <w:style w:type="character" w:styleId="FootnoteReference">
    <w:name w:val="footnote reference"/>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uiPriority w:val="99"/>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3C0853"/>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BodyText">
    <w:name w:val="Body Text"/>
    <w:basedOn w:val="Normal"/>
    <w:link w:val="BodyTextChar"/>
    <w:semiHidden/>
    <w:unhideWhenUsed/>
    <w:rsid w:val="00623D1B"/>
    <w:pPr>
      <w:tabs>
        <w:tab w:val="left" w:pos="567"/>
        <w:tab w:val="left" w:pos="1702"/>
      </w:tabs>
      <w:spacing w:line="360" w:lineRule="atLeast"/>
    </w:pPr>
    <w:rPr>
      <w:lang w:val="en-GB"/>
    </w:rPr>
  </w:style>
  <w:style w:type="character" w:customStyle="1" w:styleId="BodyTextChar">
    <w:name w:val="Body Text Char"/>
    <w:basedOn w:val="DefaultParagraphFont"/>
    <w:link w:val="BodyText"/>
    <w:semiHidden/>
    <w:rsid w:val="00623D1B"/>
    <w:rPr>
      <w:sz w:val="26"/>
      <w:szCs w:val="26"/>
      <w:lang w:val="en-GB" w:eastAsia="en-US"/>
    </w:rPr>
  </w:style>
  <w:style w:type="paragraph" w:customStyle="1" w:styleId="other">
    <w:name w:val="other"/>
    <w:basedOn w:val="Normal"/>
    <w:rsid w:val="00623D1B"/>
    <w:rPr>
      <w:rFonts w:ascii="Calibri" w:eastAsia="Calibri" w:hAnsi="Calibri"/>
      <w:sz w:val="24"/>
      <w:szCs w:val="20"/>
    </w:rPr>
  </w:style>
  <w:style w:type="paragraph" w:styleId="ListParagraph">
    <w:name w:val="List Paragraph"/>
    <w:basedOn w:val="Normal"/>
    <w:uiPriority w:val="34"/>
    <w:qFormat/>
    <w:rsid w:val="006A2D32"/>
    <w:pPr>
      <w:ind w:left="720"/>
      <w:contextualSpacing/>
    </w:pPr>
  </w:style>
  <w:style w:type="character" w:styleId="Hyperlink">
    <w:name w:val="Hyperlink"/>
    <w:basedOn w:val="DefaultParagraphFont"/>
    <w:uiPriority w:val="99"/>
    <w:semiHidden/>
    <w:unhideWhenUsed/>
    <w:rsid w:val="00573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149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21060170">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08940705">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54720037">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2800866">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13332523">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63313768">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26120239">
      <w:bodyDiv w:val="1"/>
      <w:marLeft w:val="0"/>
      <w:marRight w:val="0"/>
      <w:marTop w:val="0"/>
      <w:marBottom w:val="0"/>
      <w:divBdr>
        <w:top w:val="none" w:sz="0" w:space="0" w:color="auto"/>
        <w:left w:val="none" w:sz="0" w:space="0" w:color="auto"/>
        <w:bottom w:val="none" w:sz="0" w:space="0" w:color="auto"/>
        <w:right w:val="none" w:sz="0" w:space="0" w:color="auto"/>
      </w:divBdr>
    </w:div>
    <w:div w:id="1157571601">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86304941">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396049877">
      <w:bodyDiv w:val="1"/>
      <w:marLeft w:val="0"/>
      <w:marRight w:val="0"/>
      <w:marTop w:val="0"/>
      <w:marBottom w:val="0"/>
      <w:divBdr>
        <w:top w:val="none" w:sz="0" w:space="0" w:color="auto"/>
        <w:left w:val="none" w:sz="0" w:space="0" w:color="auto"/>
        <w:bottom w:val="none" w:sz="0" w:space="0" w:color="auto"/>
        <w:right w:val="none" w:sz="0" w:space="0" w:color="auto"/>
      </w:divBdr>
    </w:div>
    <w:div w:id="1500804214">
      <w:bodyDiv w:val="1"/>
      <w:marLeft w:val="0"/>
      <w:marRight w:val="0"/>
      <w:marTop w:val="0"/>
      <w:marBottom w:val="0"/>
      <w:divBdr>
        <w:top w:val="none" w:sz="0" w:space="0" w:color="auto"/>
        <w:left w:val="none" w:sz="0" w:space="0" w:color="auto"/>
        <w:bottom w:val="none" w:sz="0" w:space="0" w:color="auto"/>
        <w:right w:val="none" w:sz="0" w:space="0" w:color="auto"/>
      </w:divBdr>
    </w:div>
    <w:div w:id="155125870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43165693">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111312501">
      <w:bodyDiv w:val="1"/>
      <w:marLeft w:val="0"/>
      <w:marRight w:val="0"/>
      <w:marTop w:val="0"/>
      <w:marBottom w:val="0"/>
      <w:divBdr>
        <w:top w:val="none" w:sz="0" w:space="0" w:color="auto"/>
        <w:left w:val="none" w:sz="0" w:space="0" w:color="auto"/>
        <w:bottom w:val="none" w:sz="0" w:space="0" w:color="auto"/>
        <w:right w:val="none" w:sz="0" w:space="0" w:color="auto"/>
      </w:divBdr>
    </w:div>
    <w:div w:id="21140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lassic.austlii.edu.au/au/legis/vic/consol_act/paea1987254/s3.html" TargetMode="External"/><Relationship Id="rId4" Type="http://schemas.openxmlformats.org/officeDocument/2006/relationships/settings" Target="settings.xml"/><Relationship Id="rId9" Type="http://schemas.openxmlformats.org/officeDocument/2006/relationships/hyperlink" Target="http://classic.austlii.edu.au/au/legis/vic/consol_act/paea1987254/s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Full%20Text%20-%20Multi%20Case)%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3462-B35E-4B4E-B6B7-597327B8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 - Multi Case) release 1d.dotx</Template>
  <TotalTime>0</TotalTime>
  <Pages>12</Pages>
  <Words>3816</Words>
  <Characters>21756</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Graeme A David (CSV)</dc:creator>
  <cp:keywords/>
  <dc:description/>
  <cp:lastModifiedBy>Morsal Bashir</cp:lastModifiedBy>
  <cp:revision>2</cp:revision>
  <cp:lastPrinted>2019-09-11T03:54:00Z</cp:lastPrinted>
  <dcterms:created xsi:type="dcterms:W3CDTF">2019-09-12T02:34:00Z</dcterms:created>
  <dcterms:modified xsi:type="dcterms:W3CDTF">2019-09-12T02:34:00Z</dcterms:modified>
</cp:coreProperties>
</file>