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D2F" w:rsidRDefault="00404CB7" w:rsidP="00E200CF">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F3D2F">
        <w:t>VICTORIAN CIVIL AND ADMINISTRATIVE TRIBUNAL</w:t>
      </w:r>
    </w:p>
    <w:p w:rsidR="00BF3D2F" w:rsidRDefault="00BF3D2F" w:rsidP="004A201D">
      <w:pPr>
        <w:pStyle w:val="TitlePage1"/>
        <w:spacing w:after="120"/>
      </w:pPr>
      <w:r>
        <w:t>planning and environment DIVISION</w:t>
      </w:r>
    </w:p>
    <w:tbl>
      <w:tblPr>
        <w:tblW w:w="5000" w:type="pct"/>
        <w:tblLook w:val="0000" w:firstRow="0" w:lastRow="0" w:firstColumn="0" w:lastColumn="0" w:noHBand="0" w:noVBand="0"/>
      </w:tblPr>
      <w:tblGrid>
        <w:gridCol w:w="4678"/>
        <w:gridCol w:w="3827"/>
      </w:tblGrid>
      <w:tr w:rsidR="00BF3D2F" w:rsidTr="00683149">
        <w:trPr>
          <w:cantSplit/>
        </w:trPr>
        <w:tc>
          <w:tcPr>
            <w:tcW w:w="2750" w:type="pct"/>
          </w:tcPr>
          <w:p w:rsidR="00BF3D2F" w:rsidRDefault="00BF3D2F" w:rsidP="00683149">
            <w:pPr>
              <w:pStyle w:val="TitlePage2"/>
              <w:ind w:left="34"/>
            </w:pPr>
            <w:r>
              <w:t>planning and environment LIST</w:t>
            </w:r>
          </w:p>
        </w:tc>
        <w:tc>
          <w:tcPr>
            <w:tcW w:w="2250" w:type="pct"/>
          </w:tcPr>
          <w:p w:rsidR="00BF3D2F" w:rsidRDefault="00BF3D2F" w:rsidP="00683149">
            <w:pPr>
              <w:pStyle w:val="TitlePage3"/>
            </w:pPr>
            <w:r>
              <w:t xml:space="preserve">vcat reference No. </w:t>
            </w:r>
            <w:r w:rsidRPr="0010372C">
              <w:rPr>
                <w:noProof/>
              </w:rPr>
              <w:t>P586/2019</w:t>
            </w:r>
          </w:p>
          <w:p w:rsidR="00BF3D2F" w:rsidRDefault="00BF3D2F" w:rsidP="00683149">
            <w:pPr>
              <w:pStyle w:val="TitlePage3"/>
            </w:pPr>
            <w:r>
              <w:t xml:space="preserve">Permit Application no. </w:t>
            </w:r>
            <w:r w:rsidRPr="00BF3D2F">
              <w:t>TPA/49519</w:t>
            </w:r>
          </w:p>
        </w:tc>
      </w:tr>
    </w:tbl>
    <w:p w:rsidR="00BF3D2F" w:rsidRDefault="00BF3D2F" w:rsidP="00E200CF"/>
    <w:tbl>
      <w:tblPr>
        <w:tblW w:w="5000" w:type="pct"/>
        <w:tblLook w:val="0000" w:firstRow="0" w:lastRow="0" w:firstColumn="0" w:lastColumn="0" w:noHBand="0" w:noVBand="0"/>
      </w:tblPr>
      <w:tblGrid>
        <w:gridCol w:w="3545"/>
        <w:gridCol w:w="4960"/>
      </w:tblGrid>
      <w:tr w:rsidR="00BF3D2F" w:rsidTr="00683149">
        <w:tc>
          <w:tcPr>
            <w:tcW w:w="2084" w:type="pct"/>
          </w:tcPr>
          <w:p w:rsidR="00BF3D2F" w:rsidRDefault="00BF3D2F" w:rsidP="00683149">
            <w:pPr>
              <w:pStyle w:val="TitlePage2"/>
            </w:pPr>
            <w:r>
              <w:t>APPLICANT</w:t>
            </w:r>
          </w:p>
        </w:tc>
        <w:tc>
          <w:tcPr>
            <w:tcW w:w="2916" w:type="pct"/>
          </w:tcPr>
          <w:p w:rsidR="00BF3D2F" w:rsidRDefault="00BF3D2F" w:rsidP="00683149">
            <w:pPr>
              <w:pStyle w:val="TitlePagetext"/>
            </w:pPr>
            <w:r w:rsidRPr="0010372C">
              <w:rPr>
                <w:noProof/>
              </w:rPr>
              <w:t>AusUrban Equity Pty Ltd</w:t>
            </w:r>
          </w:p>
        </w:tc>
      </w:tr>
      <w:tr w:rsidR="00BF3D2F" w:rsidTr="00683149">
        <w:tc>
          <w:tcPr>
            <w:tcW w:w="2084" w:type="pct"/>
          </w:tcPr>
          <w:p w:rsidR="00BF3D2F" w:rsidRDefault="00BF3D2F" w:rsidP="00683149">
            <w:pPr>
              <w:pStyle w:val="TitlePage2"/>
            </w:pPr>
            <w:r>
              <w:t>responsible authority</w:t>
            </w:r>
          </w:p>
        </w:tc>
        <w:tc>
          <w:tcPr>
            <w:tcW w:w="2916" w:type="pct"/>
          </w:tcPr>
          <w:p w:rsidR="00BF3D2F" w:rsidRDefault="00BF3D2F" w:rsidP="00683149">
            <w:pPr>
              <w:pStyle w:val="TitlePagetext"/>
            </w:pPr>
            <w:r w:rsidRPr="0010372C">
              <w:rPr>
                <w:noProof/>
              </w:rPr>
              <w:t>Monash City Council</w:t>
            </w:r>
          </w:p>
        </w:tc>
      </w:tr>
      <w:tr w:rsidR="00BF3D2F" w:rsidTr="00683149">
        <w:tc>
          <w:tcPr>
            <w:tcW w:w="2084" w:type="pct"/>
          </w:tcPr>
          <w:p w:rsidR="00BF3D2F" w:rsidRDefault="00BF3D2F" w:rsidP="00683149">
            <w:pPr>
              <w:pStyle w:val="TitlePage2"/>
            </w:pPr>
            <w:r>
              <w:t>SUBJECT LAND</w:t>
            </w:r>
          </w:p>
        </w:tc>
        <w:tc>
          <w:tcPr>
            <w:tcW w:w="2916" w:type="pct"/>
          </w:tcPr>
          <w:p w:rsidR="00BF3D2F" w:rsidRDefault="00BF3D2F" w:rsidP="00683149">
            <w:pPr>
              <w:pStyle w:val="TitlePagetext"/>
            </w:pPr>
            <w:r w:rsidRPr="0010372C">
              <w:rPr>
                <w:noProof/>
              </w:rPr>
              <w:t>115 Coleman Parade</w:t>
            </w:r>
            <w:r>
              <w:rPr>
                <w:noProof/>
              </w:rPr>
              <w:br/>
            </w:r>
            <w:r w:rsidRPr="0010372C">
              <w:rPr>
                <w:noProof/>
              </w:rPr>
              <w:t>GLEN WAVERLEY  VIC  3150</w:t>
            </w:r>
          </w:p>
        </w:tc>
      </w:tr>
      <w:tr w:rsidR="00BF3D2F" w:rsidTr="00683149">
        <w:tc>
          <w:tcPr>
            <w:tcW w:w="2084" w:type="pct"/>
          </w:tcPr>
          <w:p w:rsidR="00BF3D2F" w:rsidRDefault="00BF3D2F" w:rsidP="00683149">
            <w:pPr>
              <w:pStyle w:val="TitlePage2"/>
            </w:pPr>
            <w:r>
              <w:t>WHERE HELD</w:t>
            </w:r>
          </w:p>
        </w:tc>
        <w:tc>
          <w:tcPr>
            <w:tcW w:w="2916" w:type="pct"/>
          </w:tcPr>
          <w:p w:rsidR="00BF3D2F" w:rsidRDefault="00BF3D2F" w:rsidP="00683149">
            <w:pPr>
              <w:pStyle w:val="TitlePagetext"/>
            </w:pPr>
            <w:r>
              <w:t>Melbourne</w:t>
            </w:r>
          </w:p>
        </w:tc>
      </w:tr>
      <w:tr w:rsidR="00BF3D2F" w:rsidTr="00683149">
        <w:tc>
          <w:tcPr>
            <w:tcW w:w="2084" w:type="pct"/>
          </w:tcPr>
          <w:p w:rsidR="00BF3D2F" w:rsidRDefault="00BF3D2F" w:rsidP="00683149">
            <w:pPr>
              <w:pStyle w:val="TitlePage2"/>
            </w:pPr>
            <w:r>
              <w:t>BEFORE</w:t>
            </w:r>
          </w:p>
        </w:tc>
        <w:tc>
          <w:tcPr>
            <w:tcW w:w="2916" w:type="pct"/>
          </w:tcPr>
          <w:p w:rsidR="00BF3D2F" w:rsidRDefault="00BF3D2F" w:rsidP="00683149">
            <w:pPr>
              <w:pStyle w:val="TitlePagetext"/>
            </w:pPr>
            <w:r>
              <w:t>Peter Gaschk, Member</w:t>
            </w:r>
          </w:p>
        </w:tc>
      </w:tr>
      <w:tr w:rsidR="00BF3D2F" w:rsidTr="00683149">
        <w:tc>
          <w:tcPr>
            <w:tcW w:w="2084" w:type="pct"/>
          </w:tcPr>
          <w:p w:rsidR="00BF3D2F" w:rsidRDefault="00BF3D2F" w:rsidP="00683149">
            <w:pPr>
              <w:pStyle w:val="TitlePage2"/>
            </w:pPr>
            <w:r>
              <w:t>HEARING TYPE</w:t>
            </w:r>
          </w:p>
        </w:tc>
        <w:tc>
          <w:tcPr>
            <w:tcW w:w="2916" w:type="pct"/>
          </w:tcPr>
          <w:p w:rsidR="00BF3D2F" w:rsidRDefault="00BF3D2F" w:rsidP="00683149">
            <w:pPr>
              <w:pStyle w:val="TitlePagetext"/>
            </w:pPr>
            <w:r w:rsidRPr="0010372C">
              <w:rPr>
                <w:noProof/>
              </w:rPr>
              <w:t>Hearing</w:t>
            </w:r>
          </w:p>
        </w:tc>
      </w:tr>
      <w:tr w:rsidR="00BF3D2F" w:rsidTr="00683149">
        <w:tc>
          <w:tcPr>
            <w:tcW w:w="2084" w:type="pct"/>
          </w:tcPr>
          <w:p w:rsidR="00BF3D2F" w:rsidRDefault="00BF3D2F" w:rsidP="00683149">
            <w:pPr>
              <w:pStyle w:val="TitlePage2"/>
            </w:pPr>
            <w:r>
              <w:t>DATE OF HEARING</w:t>
            </w:r>
          </w:p>
        </w:tc>
        <w:tc>
          <w:tcPr>
            <w:tcW w:w="2916" w:type="pct"/>
          </w:tcPr>
          <w:p w:rsidR="00BF3D2F" w:rsidRDefault="00BF3D2F" w:rsidP="00683149">
            <w:pPr>
              <w:pStyle w:val="TitlePagetext"/>
            </w:pPr>
            <w:r w:rsidRPr="0010372C">
              <w:rPr>
                <w:noProof/>
              </w:rPr>
              <w:t>9 October 2019</w:t>
            </w:r>
          </w:p>
        </w:tc>
      </w:tr>
      <w:tr w:rsidR="00BF3D2F" w:rsidTr="00683149">
        <w:tc>
          <w:tcPr>
            <w:tcW w:w="2084" w:type="pct"/>
          </w:tcPr>
          <w:p w:rsidR="0095590D" w:rsidRPr="002C35D0" w:rsidRDefault="0095590D" w:rsidP="00683149">
            <w:pPr>
              <w:pStyle w:val="TitlePage2"/>
            </w:pPr>
            <w:r w:rsidRPr="002C35D0">
              <w:t>date of interim order</w:t>
            </w:r>
          </w:p>
          <w:p w:rsidR="00BF3D2F" w:rsidRPr="002C35D0" w:rsidRDefault="00BF3D2F" w:rsidP="00683149">
            <w:pPr>
              <w:pStyle w:val="TitlePage2"/>
            </w:pPr>
            <w:r w:rsidRPr="002C35D0">
              <w:t>DATE OF ORDER</w:t>
            </w:r>
          </w:p>
        </w:tc>
        <w:tc>
          <w:tcPr>
            <w:tcW w:w="2916" w:type="pct"/>
          </w:tcPr>
          <w:p w:rsidR="00BF3D2F" w:rsidRPr="002C35D0" w:rsidRDefault="0095590D" w:rsidP="00683149">
            <w:pPr>
              <w:pStyle w:val="TitlePagetext"/>
            </w:pPr>
            <w:r w:rsidRPr="002C35D0">
              <w:t>1</w:t>
            </w:r>
            <w:r w:rsidR="002C35D0" w:rsidRPr="002C35D0">
              <w:t>8</w:t>
            </w:r>
            <w:r w:rsidRPr="002C35D0">
              <w:t xml:space="preserve"> November 2019</w:t>
            </w:r>
          </w:p>
          <w:p w:rsidR="0095590D" w:rsidRPr="002C35D0" w:rsidRDefault="00F93626" w:rsidP="00683149">
            <w:pPr>
              <w:pStyle w:val="TitlePagetext"/>
            </w:pPr>
            <w:r w:rsidRPr="000D0DA2">
              <w:t>1</w:t>
            </w:r>
            <w:r w:rsidR="0004673D" w:rsidRPr="000D0DA2">
              <w:t>1</w:t>
            </w:r>
            <w:r w:rsidR="002C35D0" w:rsidRPr="000D0DA2">
              <w:t xml:space="preserve"> </w:t>
            </w:r>
            <w:r w:rsidR="00F92755" w:rsidRPr="000D0DA2">
              <w:t>February</w:t>
            </w:r>
            <w:r w:rsidR="002C35D0" w:rsidRPr="000D0DA2">
              <w:t xml:space="preserve"> 2020</w:t>
            </w:r>
          </w:p>
        </w:tc>
      </w:tr>
      <w:tr w:rsidR="00BF3D2F" w:rsidTr="00683149">
        <w:tc>
          <w:tcPr>
            <w:tcW w:w="2084" w:type="pct"/>
          </w:tcPr>
          <w:p w:rsidR="00BF3D2F" w:rsidRDefault="00BF3D2F" w:rsidP="00683149">
            <w:pPr>
              <w:pStyle w:val="TitlePage2"/>
            </w:pPr>
            <w:r>
              <w:t>CITATION</w:t>
            </w:r>
          </w:p>
        </w:tc>
        <w:tc>
          <w:tcPr>
            <w:tcW w:w="2916" w:type="pct"/>
          </w:tcPr>
          <w:p w:rsidR="00BF3D2F" w:rsidRDefault="000D0DA2" w:rsidP="00683149">
            <w:pPr>
              <w:pStyle w:val="TitlePagetext"/>
            </w:pPr>
            <w:r>
              <w:t>AusUrban Equity Pty Ltd v Monash CC [2020] VCAT 151</w:t>
            </w:r>
          </w:p>
        </w:tc>
      </w:tr>
    </w:tbl>
    <w:p w:rsidR="00BF3D2F" w:rsidRDefault="00BF3D2F" w:rsidP="00E200CF"/>
    <w:p w:rsidR="00BF3D2F" w:rsidRDefault="00BF3D2F" w:rsidP="00E200CF">
      <w:pPr>
        <w:pStyle w:val="Heading1"/>
      </w:pPr>
      <w:r>
        <w:t>Order</w:t>
      </w:r>
    </w:p>
    <w:p w:rsidR="00BF3D2F" w:rsidRPr="00613A91" w:rsidRDefault="00BF3D2F" w:rsidP="00E200CF">
      <w:pPr>
        <w:pStyle w:val="Order2"/>
      </w:pPr>
      <w:r>
        <w:t xml:space="preserve">In application </w:t>
      </w:r>
      <w:r w:rsidRPr="0010372C">
        <w:rPr>
          <w:noProof/>
        </w:rPr>
        <w:t>P586/2019</w:t>
      </w:r>
      <w:r>
        <w:rPr>
          <w:noProof/>
        </w:rPr>
        <w:t xml:space="preserve"> </w:t>
      </w:r>
      <w:r w:rsidRPr="00613A91">
        <w:t>the decision of the responsible authority is affirmed.</w:t>
      </w:r>
    </w:p>
    <w:p w:rsidR="00BF3D2F" w:rsidRDefault="00BF3D2F" w:rsidP="00E200CF">
      <w:pPr>
        <w:pStyle w:val="Order2"/>
      </w:pPr>
      <w:r w:rsidRPr="00613A91">
        <w:t xml:space="preserve">In planning permit application </w:t>
      </w:r>
      <w:r w:rsidR="00DD6893" w:rsidRPr="00BF3D2F">
        <w:t>TPA/49519</w:t>
      </w:r>
      <w:r w:rsidRPr="00613A91">
        <w:t xml:space="preserve"> no permit is granted.</w:t>
      </w:r>
    </w:p>
    <w:p w:rsidR="00BF3D2F" w:rsidRDefault="00BF3D2F" w:rsidP="00E200CF"/>
    <w:p w:rsidR="00BF3D2F" w:rsidRDefault="00BF3D2F" w:rsidP="00E200CF"/>
    <w:p w:rsidR="00404CB7" w:rsidRDefault="00404CB7" w:rsidP="00E200CF"/>
    <w:p w:rsidR="00404CB7" w:rsidRDefault="00404CB7" w:rsidP="00E200CF"/>
    <w:tbl>
      <w:tblPr>
        <w:tblW w:w="5000" w:type="pct"/>
        <w:tblLook w:val="0000" w:firstRow="0" w:lastRow="0" w:firstColumn="0" w:lastColumn="0" w:noHBand="0" w:noVBand="0"/>
      </w:tblPr>
      <w:tblGrid>
        <w:gridCol w:w="3562"/>
        <w:gridCol w:w="1936"/>
        <w:gridCol w:w="3007"/>
      </w:tblGrid>
      <w:tr w:rsidR="00BF3D2F" w:rsidTr="00683149">
        <w:tc>
          <w:tcPr>
            <w:tcW w:w="2094" w:type="pct"/>
          </w:tcPr>
          <w:p w:rsidR="00B33EE1" w:rsidRDefault="00B33EE1" w:rsidP="00683149">
            <w:pPr>
              <w:tabs>
                <w:tab w:val="left" w:pos="1515"/>
              </w:tabs>
              <w:rPr>
                <w:b/>
              </w:rPr>
            </w:pPr>
            <w:r>
              <w:rPr>
                <w:b/>
              </w:rPr>
              <w:t>Peter Gaschk</w:t>
            </w:r>
          </w:p>
          <w:p w:rsidR="00BF3D2F" w:rsidRDefault="00B33EE1" w:rsidP="00683149">
            <w:pPr>
              <w:tabs>
                <w:tab w:val="left" w:pos="1515"/>
              </w:tabs>
              <w:rPr>
                <w:b/>
              </w:rPr>
            </w:pPr>
            <w:r>
              <w:rPr>
                <w:b/>
              </w:rPr>
              <w:t>Me</w:t>
            </w:r>
            <w:r w:rsidR="00BF3D2F">
              <w:rPr>
                <w:b/>
              </w:rPr>
              <w:t>mber</w:t>
            </w:r>
          </w:p>
        </w:tc>
        <w:tc>
          <w:tcPr>
            <w:tcW w:w="1138" w:type="pct"/>
          </w:tcPr>
          <w:p w:rsidR="00BF3D2F" w:rsidRDefault="00BF3D2F" w:rsidP="00683149"/>
        </w:tc>
        <w:tc>
          <w:tcPr>
            <w:tcW w:w="1768" w:type="pct"/>
          </w:tcPr>
          <w:p w:rsidR="00BF3D2F" w:rsidRDefault="00BF3D2F" w:rsidP="00683149"/>
        </w:tc>
      </w:tr>
    </w:tbl>
    <w:p w:rsidR="00BF3D2F" w:rsidRDefault="00BF3D2F" w:rsidP="00E200CF"/>
    <w:p w:rsidR="00250FB1" w:rsidRDefault="00250FB1" w:rsidP="00E200CF"/>
    <w:p w:rsidR="00250FB1" w:rsidRDefault="00250FB1" w:rsidP="00E200CF"/>
    <w:p w:rsidR="00250FB1" w:rsidRDefault="00250FB1" w:rsidP="00E200CF"/>
    <w:p w:rsidR="00250FB1" w:rsidRDefault="00250FB1" w:rsidP="00E200CF"/>
    <w:p w:rsidR="00250FB1" w:rsidRDefault="00250FB1" w:rsidP="00E200CF"/>
    <w:p w:rsidR="00250FB1" w:rsidRDefault="00250FB1" w:rsidP="00E200CF"/>
    <w:p w:rsidR="00BF3D2F" w:rsidRDefault="00BF3D2F" w:rsidP="00E200CF"/>
    <w:p w:rsidR="00BF3D2F" w:rsidRDefault="00404CB7" w:rsidP="00E200CF">
      <w:pPr>
        <w:pStyle w:val="Heading1"/>
        <w:rPr>
          <w:highlight w:val="yellow"/>
        </w:rPr>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F3D2F">
        <w:t>Appearances</w:t>
      </w:r>
    </w:p>
    <w:tbl>
      <w:tblPr>
        <w:tblW w:w="5000" w:type="pct"/>
        <w:tblLook w:val="0000" w:firstRow="0" w:lastRow="0" w:firstColumn="0" w:lastColumn="0" w:noHBand="0" w:noVBand="0"/>
      </w:tblPr>
      <w:tblGrid>
        <w:gridCol w:w="3441"/>
        <w:gridCol w:w="5064"/>
      </w:tblGrid>
      <w:tr w:rsidR="00BF3D2F" w:rsidTr="00683149">
        <w:trPr>
          <w:cantSplit/>
        </w:trPr>
        <w:tc>
          <w:tcPr>
            <w:tcW w:w="2023" w:type="pct"/>
          </w:tcPr>
          <w:p w:rsidR="00BF3D2F" w:rsidRDefault="00BF3D2F" w:rsidP="00683149">
            <w:pPr>
              <w:pStyle w:val="TitlePagetext"/>
            </w:pPr>
            <w:r>
              <w:t>For applicant</w:t>
            </w:r>
          </w:p>
        </w:tc>
        <w:tc>
          <w:tcPr>
            <w:tcW w:w="2977" w:type="pct"/>
          </w:tcPr>
          <w:p w:rsidR="00BF3D2F" w:rsidRDefault="00DD6893" w:rsidP="00683149">
            <w:pPr>
              <w:pStyle w:val="TitlePagetext"/>
            </w:pPr>
            <w:r>
              <w:t>Mr Kyle O’Brien, Town Planner from David Lock &amp; Associates</w:t>
            </w:r>
          </w:p>
        </w:tc>
      </w:tr>
      <w:tr w:rsidR="00BF3D2F" w:rsidTr="00683149">
        <w:trPr>
          <w:cantSplit/>
        </w:trPr>
        <w:tc>
          <w:tcPr>
            <w:tcW w:w="2023" w:type="pct"/>
          </w:tcPr>
          <w:p w:rsidR="00BF3D2F" w:rsidRDefault="00BF3D2F" w:rsidP="00683149">
            <w:pPr>
              <w:pStyle w:val="TitlePagetext"/>
            </w:pPr>
            <w:r>
              <w:t>For responsible authority</w:t>
            </w:r>
          </w:p>
        </w:tc>
        <w:tc>
          <w:tcPr>
            <w:tcW w:w="2977" w:type="pct"/>
          </w:tcPr>
          <w:p w:rsidR="00BF3D2F" w:rsidRDefault="00DD6893" w:rsidP="00683149">
            <w:pPr>
              <w:pStyle w:val="TitlePagetext"/>
            </w:pPr>
            <w:r>
              <w:t>Mr James Turner, Town Planner</w:t>
            </w:r>
          </w:p>
        </w:tc>
      </w:tr>
    </w:tbl>
    <w:p w:rsidR="00BF3D2F" w:rsidRDefault="00BF3D2F" w:rsidP="00E200CF"/>
    <w:p w:rsidR="00BF3D2F" w:rsidRDefault="00BF3D2F" w:rsidP="00E200CF"/>
    <w:p w:rsidR="00BF3D2F" w:rsidRDefault="00BF3D2F" w:rsidP="00E200CF"/>
    <w:p w:rsidR="00BF3D2F" w:rsidRDefault="00BF3D2F" w:rsidP="00E200CF">
      <w:r>
        <w:br w:type="page"/>
      </w:r>
    </w:p>
    <w:p w:rsidR="00BF3D2F" w:rsidRDefault="00404CB7" w:rsidP="00E200CF">
      <w:pPr>
        <w:pStyle w:val="Heading1"/>
        <w:rPr>
          <w:highlight w:val="yellow"/>
        </w:rPr>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F3D2F">
        <w:t>Information</w:t>
      </w:r>
    </w:p>
    <w:tbl>
      <w:tblPr>
        <w:tblW w:w="5000" w:type="pct"/>
        <w:tblLook w:val="0000" w:firstRow="0" w:lastRow="0" w:firstColumn="0" w:lastColumn="0" w:noHBand="0" w:noVBand="0"/>
      </w:tblPr>
      <w:tblGrid>
        <w:gridCol w:w="3273"/>
        <w:gridCol w:w="5232"/>
      </w:tblGrid>
      <w:tr w:rsidR="00BF3D2F" w:rsidTr="00683149">
        <w:trPr>
          <w:cantSplit/>
        </w:trPr>
        <w:tc>
          <w:tcPr>
            <w:tcW w:w="1924" w:type="pct"/>
          </w:tcPr>
          <w:p w:rsidR="00BF3D2F" w:rsidRDefault="00BF3D2F" w:rsidP="00683149">
            <w:pPr>
              <w:pStyle w:val="TitlePagetext"/>
            </w:pPr>
            <w:r>
              <w:t>Description of proposal</w:t>
            </w:r>
          </w:p>
        </w:tc>
        <w:tc>
          <w:tcPr>
            <w:tcW w:w="3076" w:type="pct"/>
          </w:tcPr>
          <w:p w:rsidR="00BF3D2F" w:rsidRPr="00851E10" w:rsidRDefault="00DD6893" w:rsidP="00683149">
            <w:pPr>
              <w:pStyle w:val="TitlePagetext"/>
            </w:pPr>
            <w:r>
              <w:t>Construction of four triple storey dwellings</w:t>
            </w:r>
            <w:r w:rsidR="004044CE">
              <w:t>.</w:t>
            </w:r>
          </w:p>
        </w:tc>
      </w:tr>
      <w:tr w:rsidR="00BF3D2F" w:rsidTr="00683149">
        <w:trPr>
          <w:cantSplit/>
        </w:trPr>
        <w:tc>
          <w:tcPr>
            <w:tcW w:w="1924" w:type="pct"/>
          </w:tcPr>
          <w:p w:rsidR="00BF3D2F" w:rsidRDefault="00BF3D2F" w:rsidP="00683149">
            <w:pPr>
              <w:pStyle w:val="TitlePagetext"/>
            </w:pPr>
            <w:r>
              <w:t>Nature of proceeding</w:t>
            </w:r>
          </w:p>
        </w:tc>
        <w:tc>
          <w:tcPr>
            <w:tcW w:w="3076" w:type="pct"/>
          </w:tcPr>
          <w:p w:rsidR="00BF3D2F" w:rsidRPr="00851E10" w:rsidRDefault="00BF3D2F" w:rsidP="00683149">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BF3D2F" w:rsidTr="00683149">
        <w:trPr>
          <w:cantSplit/>
        </w:trPr>
        <w:tc>
          <w:tcPr>
            <w:tcW w:w="1924" w:type="pct"/>
          </w:tcPr>
          <w:p w:rsidR="00BF3D2F" w:rsidRPr="005C699E" w:rsidRDefault="00BF3D2F" w:rsidP="00683149">
            <w:pPr>
              <w:pStyle w:val="TitlePagetext"/>
            </w:pPr>
            <w:r>
              <w:t>Planning scheme</w:t>
            </w:r>
          </w:p>
        </w:tc>
        <w:tc>
          <w:tcPr>
            <w:tcW w:w="3076" w:type="pct"/>
          </w:tcPr>
          <w:p w:rsidR="00BF3D2F" w:rsidRPr="00851E10" w:rsidRDefault="004044CE" w:rsidP="00683149">
            <w:pPr>
              <w:pStyle w:val="TitlePagetext"/>
            </w:pPr>
            <w:r>
              <w:t>Monash Planning Scheme</w:t>
            </w:r>
            <w:r w:rsidR="00FD69FD">
              <w:t xml:space="preserve"> (the Scheme)</w:t>
            </w:r>
            <w:r>
              <w:t>.</w:t>
            </w:r>
          </w:p>
        </w:tc>
      </w:tr>
      <w:tr w:rsidR="00BF3D2F" w:rsidTr="00683149">
        <w:trPr>
          <w:cantSplit/>
        </w:trPr>
        <w:tc>
          <w:tcPr>
            <w:tcW w:w="1924" w:type="pct"/>
          </w:tcPr>
          <w:p w:rsidR="00BF3D2F" w:rsidRDefault="00BF3D2F" w:rsidP="00683149">
            <w:pPr>
              <w:pStyle w:val="TitlePagetext"/>
            </w:pPr>
            <w:r w:rsidRPr="005C699E">
              <w:t xml:space="preserve">Zone and </w:t>
            </w:r>
            <w:r>
              <w:t>o</w:t>
            </w:r>
            <w:r w:rsidRPr="005C699E">
              <w:t>verlays</w:t>
            </w:r>
          </w:p>
        </w:tc>
        <w:tc>
          <w:tcPr>
            <w:tcW w:w="3076" w:type="pct"/>
          </w:tcPr>
          <w:p w:rsidR="00BF3D2F" w:rsidRDefault="004044CE" w:rsidP="00683149">
            <w:pPr>
              <w:pStyle w:val="TitlePagetext"/>
            </w:pPr>
            <w:r>
              <w:t>General Residential Zone, Schedule 7</w:t>
            </w:r>
            <w:r w:rsidR="00FD69FD">
              <w:t xml:space="preserve">, </w:t>
            </w:r>
            <w:r w:rsidR="00250FB1">
              <w:t xml:space="preserve">(GRZ7) </w:t>
            </w:r>
            <w:r>
              <w:t>Housing Diversity Area – Glen Waverl</w:t>
            </w:r>
            <w:r w:rsidR="000D0DA2">
              <w:t>e</w:t>
            </w:r>
            <w:r>
              <w:t>y Major Activity Centre</w:t>
            </w:r>
          </w:p>
          <w:p w:rsidR="004044CE" w:rsidRPr="00851E10" w:rsidRDefault="004044CE" w:rsidP="00683149">
            <w:pPr>
              <w:pStyle w:val="TitlePagetext"/>
            </w:pPr>
            <w:r>
              <w:t>No Overlays apply.</w:t>
            </w:r>
          </w:p>
        </w:tc>
      </w:tr>
      <w:tr w:rsidR="00BF3D2F" w:rsidTr="00683149">
        <w:trPr>
          <w:cantSplit/>
        </w:trPr>
        <w:tc>
          <w:tcPr>
            <w:tcW w:w="1924" w:type="pct"/>
          </w:tcPr>
          <w:p w:rsidR="00BF3D2F" w:rsidRPr="005C699E" w:rsidRDefault="00BF3D2F" w:rsidP="00683149">
            <w:pPr>
              <w:pStyle w:val="TitlePagetext"/>
            </w:pPr>
            <w:r>
              <w:t>Permit requirements</w:t>
            </w:r>
          </w:p>
        </w:tc>
        <w:tc>
          <w:tcPr>
            <w:tcW w:w="3076" w:type="pct"/>
          </w:tcPr>
          <w:p w:rsidR="00BF3D2F" w:rsidRPr="00851E10" w:rsidRDefault="004044CE" w:rsidP="00683149">
            <w:pPr>
              <w:pStyle w:val="TitlePagetext"/>
            </w:pPr>
            <w:r>
              <w:t>Clause 32.08-6: To construct two or more dwellings on a lot.</w:t>
            </w:r>
          </w:p>
        </w:tc>
      </w:tr>
      <w:tr w:rsidR="00BF3D2F" w:rsidTr="00683149">
        <w:trPr>
          <w:cantSplit/>
        </w:trPr>
        <w:tc>
          <w:tcPr>
            <w:tcW w:w="1924" w:type="pct"/>
          </w:tcPr>
          <w:p w:rsidR="00BF3D2F" w:rsidRDefault="00BF3D2F" w:rsidP="00683149">
            <w:pPr>
              <w:pStyle w:val="TitlePagetext"/>
            </w:pPr>
            <w:r>
              <w:t>Relevant scheme policies and provisions</w:t>
            </w:r>
          </w:p>
        </w:tc>
        <w:tc>
          <w:tcPr>
            <w:tcW w:w="3076" w:type="pct"/>
          </w:tcPr>
          <w:p w:rsidR="00BF3D2F" w:rsidRPr="00851E10" w:rsidRDefault="004044CE" w:rsidP="00683149">
            <w:pPr>
              <w:pStyle w:val="TitlePagetext"/>
            </w:pPr>
            <w:r>
              <w:t xml:space="preserve">Clauses 11, 11.03-1S, 15.01-4S, 15.01-4R, </w:t>
            </w:r>
            <w:r w:rsidR="00131387">
              <w:t xml:space="preserve">15.02-1S, </w:t>
            </w:r>
            <w:r>
              <w:t>16.01</w:t>
            </w:r>
            <w:r w:rsidR="00131387">
              <w:t>-2S</w:t>
            </w:r>
            <w:r>
              <w:t xml:space="preserve">, </w:t>
            </w:r>
            <w:r w:rsidR="00131387">
              <w:t xml:space="preserve">16.01-1R, </w:t>
            </w:r>
            <w:r>
              <w:t>21.04, 21.0</w:t>
            </w:r>
            <w:r w:rsidR="00131387">
              <w:t>6</w:t>
            </w:r>
            <w:r>
              <w:t xml:space="preserve">, </w:t>
            </w:r>
            <w:r w:rsidR="00E87955">
              <w:t xml:space="preserve">22.01, </w:t>
            </w:r>
            <w:r>
              <w:t>22.1</w:t>
            </w:r>
            <w:r w:rsidR="00131387">
              <w:t>4</w:t>
            </w:r>
            <w:r>
              <w:t>, 32.08, 52.06, 55, 65</w:t>
            </w:r>
            <w:r w:rsidR="000E2BF0">
              <w:t xml:space="preserve"> and </w:t>
            </w:r>
            <w:r>
              <w:t>71.02.</w:t>
            </w:r>
          </w:p>
        </w:tc>
      </w:tr>
      <w:tr w:rsidR="00BF3D2F" w:rsidTr="00683149">
        <w:trPr>
          <w:cantSplit/>
        </w:trPr>
        <w:tc>
          <w:tcPr>
            <w:tcW w:w="1924" w:type="pct"/>
          </w:tcPr>
          <w:p w:rsidR="00BF3D2F" w:rsidRDefault="00404CB7" w:rsidP="00683149">
            <w:pPr>
              <w:pStyle w:val="TitlePagetext"/>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F3D2F">
              <w:t>Land description</w:t>
            </w:r>
          </w:p>
        </w:tc>
        <w:tc>
          <w:tcPr>
            <w:tcW w:w="3076" w:type="pct"/>
          </w:tcPr>
          <w:p w:rsidR="00DC5C4F" w:rsidRDefault="00131387" w:rsidP="00683149">
            <w:pPr>
              <w:pStyle w:val="TitlePagetext"/>
            </w:pPr>
            <w:r>
              <w:t>The review site is located on the south side of Coleman Parade</w:t>
            </w:r>
            <w:r w:rsidR="00250FB1">
              <w:t xml:space="preserve">, approximately </w:t>
            </w:r>
            <w:r w:rsidR="00FF09A8">
              <w:t>7</w:t>
            </w:r>
            <w:r w:rsidR="00250FB1">
              <w:t>0m east of Caramar Avenue</w:t>
            </w:r>
            <w:r w:rsidR="006B776F">
              <w:t xml:space="preserve">.  </w:t>
            </w:r>
            <w:r w:rsidR="0092611C">
              <w:t xml:space="preserve">It is rectangular in shape with a 16.7m frontage, 42.6m depth and area of approximately 715sqm.  </w:t>
            </w:r>
            <w:r w:rsidR="003601EE">
              <w:t xml:space="preserve">The </w:t>
            </w:r>
            <w:r w:rsidR="000E2BF0">
              <w:t>land</w:t>
            </w:r>
            <w:r w:rsidR="003601EE">
              <w:t xml:space="preserve"> is vacant </w:t>
            </w:r>
            <w:r w:rsidR="000E2BF0">
              <w:t xml:space="preserve">with </w:t>
            </w:r>
            <w:r w:rsidR="003601EE">
              <w:t xml:space="preserve">no significant vegetation.  </w:t>
            </w:r>
            <w:r w:rsidR="0092611C">
              <w:t>I</w:t>
            </w:r>
            <w:r w:rsidR="003601EE">
              <w:t xml:space="preserve">t </w:t>
            </w:r>
            <w:r w:rsidR="00DC5C4F">
              <w:t>has a fall</w:t>
            </w:r>
            <w:r w:rsidR="005D4469">
              <w:t xml:space="preserve"> of </w:t>
            </w:r>
            <w:r w:rsidR="00DC5C4F">
              <w:t>approximately 3.0m from north west to south east.</w:t>
            </w:r>
            <w:r w:rsidR="005D4469">
              <w:t xml:space="preserve">  A</w:t>
            </w:r>
            <w:r w:rsidR="00DC5C4F">
              <w:t xml:space="preserve">n existing crossover </w:t>
            </w:r>
            <w:r w:rsidR="005D4469">
              <w:t xml:space="preserve">is </w:t>
            </w:r>
            <w:r w:rsidR="00DC5C4F">
              <w:t xml:space="preserve">located </w:t>
            </w:r>
            <w:r w:rsidR="006B776F">
              <w:t xml:space="preserve">along </w:t>
            </w:r>
            <w:r w:rsidR="00DC5C4F">
              <w:t xml:space="preserve">the eastern boundary with a 1.8m wide drainage and sewerage easement </w:t>
            </w:r>
            <w:r w:rsidR="000E2BF0">
              <w:t xml:space="preserve">along </w:t>
            </w:r>
            <w:r w:rsidR="00DC5C4F">
              <w:t>the rear.</w:t>
            </w:r>
          </w:p>
          <w:p w:rsidR="00DC5C4F" w:rsidRDefault="000E2BF0" w:rsidP="00683149">
            <w:pPr>
              <w:pStyle w:val="TitlePagetext"/>
            </w:pPr>
            <w:r>
              <w:t>Adjoining t</w:t>
            </w:r>
            <w:r w:rsidR="00DC5C4F">
              <w:t xml:space="preserve">he </w:t>
            </w:r>
            <w:r w:rsidR="006B776F">
              <w:t>east</w:t>
            </w:r>
            <w:r>
              <w:t>ern boundary (</w:t>
            </w:r>
            <w:r w:rsidR="003601EE">
              <w:t>117 Coleman Parade</w:t>
            </w:r>
            <w:r>
              <w:t>)</w:t>
            </w:r>
            <w:r w:rsidR="003601EE">
              <w:t xml:space="preserve"> </w:t>
            </w:r>
            <w:r w:rsidR="005D4469">
              <w:t xml:space="preserve">is </w:t>
            </w:r>
            <w:r w:rsidR="00DC5C4F">
              <w:t>a single storey detached dwelling</w:t>
            </w:r>
            <w:r w:rsidR="005D4469">
              <w:t xml:space="preserve"> </w:t>
            </w:r>
            <w:r w:rsidR="003601EE">
              <w:t xml:space="preserve">set back 9.1m from the </w:t>
            </w:r>
            <w:r w:rsidR="005D4469">
              <w:t xml:space="preserve">front </w:t>
            </w:r>
            <w:r w:rsidR="003601EE">
              <w:t xml:space="preserve">with </w:t>
            </w:r>
            <w:r w:rsidR="00702B08">
              <w:t xml:space="preserve">private open space (POS) and brick garage </w:t>
            </w:r>
            <w:r>
              <w:t xml:space="preserve">to </w:t>
            </w:r>
            <w:r w:rsidR="00702B08">
              <w:t xml:space="preserve">the rear.  </w:t>
            </w:r>
            <w:r>
              <w:t>Adjoining</w:t>
            </w:r>
            <w:r w:rsidR="00702B08">
              <w:t xml:space="preserve"> the west</w:t>
            </w:r>
            <w:r>
              <w:t>ern boundary (</w:t>
            </w:r>
            <w:r w:rsidR="003601EE">
              <w:t>113 Coleman Parade</w:t>
            </w:r>
            <w:r>
              <w:t>)</w:t>
            </w:r>
            <w:r w:rsidR="003601EE">
              <w:t xml:space="preserve"> </w:t>
            </w:r>
            <w:r w:rsidR="00702B08">
              <w:t>is a single storey detached dwelling</w:t>
            </w:r>
            <w:r w:rsidR="003601EE">
              <w:t xml:space="preserve"> </w:t>
            </w:r>
            <w:r w:rsidR="00702B08">
              <w:t xml:space="preserve">set back 7.4m </w:t>
            </w:r>
            <w:r w:rsidR="003601EE">
              <w:t xml:space="preserve">from the front with </w:t>
            </w:r>
            <w:r w:rsidR="00702B08">
              <w:t xml:space="preserve">POS and garage </w:t>
            </w:r>
            <w:r w:rsidR="003601EE">
              <w:t>at</w:t>
            </w:r>
            <w:r w:rsidR="00702B08">
              <w:t xml:space="preserve"> the rear.  To the south</w:t>
            </w:r>
            <w:r w:rsidR="006B34D4">
              <w:t xml:space="preserve"> (rear boundary)</w:t>
            </w:r>
            <w:r w:rsidR="00702B08">
              <w:t xml:space="preserve"> is a detached double storey dwelling fronting Grace Street.</w:t>
            </w:r>
            <w:r w:rsidR="00DC5C4F">
              <w:t xml:space="preserve"> </w:t>
            </w:r>
            <w:r w:rsidR="006B34D4">
              <w:t xml:space="preserve">To the north is </w:t>
            </w:r>
            <w:r w:rsidR="00FC3AA9">
              <w:t xml:space="preserve">a </w:t>
            </w:r>
            <w:r w:rsidR="006B34D4">
              <w:t xml:space="preserve">railway </w:t>
            </w:r>
            <w:r w:rsidR="00FC3AA9">
              <w:t>reserve</w:t>
            </w:r>
            <w:r w:rsidR="006B34D4">
              <w:t xml:space="preserve"> with angled parking and street tree planting</w:t>
            </w:r>
            <w:r w:rsidR="00FF09A8">
              <w:t xml:space="preserve"> associated with the Glen </w:t>
            </w:r>
            <w:r w:rsidR="00B63E45">
              <w:t>Waverley</w:t>
            </w:r>
            <w:r w:rsidR="00FF09A8">
              <w:t xml:space="preserve"> Railway Station</w:t>
            </w:r>
            <w:r w:rsidR="006B34D4">
              <w:t xml:space="preserve">.  </w:t>
            </w:r>
          </w:p>
          <w:p w:rsidR="00DC5C4F" w:rsidRDefault="00FF09A8" w:rsidP="00683149">
            <w:pPr>
              <w:pStyle w:val="TitlePagetext"/>
            </w:pPr>
            <w:r>
              <w:t>The neighbourhood contains scattered mature trees</w:t>
            </w:r>
            <w:r w:rsidR="00FC3AA9">
              <w:t>,</w:t>
            </w:r>
            <w:r>
              <w:t xml:space="preserve"> generally located within front and rear </w:t>
            </w:r>
            <w:r w:rsidR="0092611C">
              <w:t xml:space="preserve">landscaped </w:t>
            </w:r>
            <w:r>
              <w:t xml:space="preserve">setbacks </w:t>
            </w:r>
            <w:r w:rsidR="00FC3AA9">
              <w:t xml:space="preserve">of private </w:t>
            </w:r>
            <w:r w:rsidR="000E2BF0">
              <w:t>properties</w:t>
            </w:r>
            <w:r w:rsidR="00FC3AA9">
              <w:t xml:space="preserve"> and </w:t>
            </w:r>
            <w:r w:rsidR="0092611C">
              <w:t xml:space="preserve">along </w:t>
            </w:r>
            <w:r w:rsidR="00FC3AA9">
              <w:t>public open space areas, including rail and road reserves</w:t>
            </w:r>
            <w:r>
              <w:t xml:space="preserve">.  </w:t>
            </w:r>
            <w:r w:rsidR="00702B08">
              <w:t>Surrounding residential development includes a mix of old</w:t>
            </w:r>
            <w:r w:rsidR="00174435">
              <w:t>er</w:t>
            </w:r>
            <w:r w:rsidR="00702B08">
              <w:t xml:space="preserve"> and </w:t>
            </w:r>
            <w:r w:rsidR="006B776F">
              <w:t xml:space="preserve">contemporary </w:t>
            </w:r>
            <w:r w:rsidR="00702B08">
              <w:t>single and double storey detached housing</w:t>
            </w:r>
            <w:r w:rsidR="0092611C">
              <w:t>.  This includes</w:t>
            </w:r>
            <w:r>
              <w:t xml:space="preserve"> emerging medium density housing, including aged care</w:t>
            </w:r>
            <w:r w:rsidR="00FC3AA9">
              <w:t xml:space="preserve"> and retirement</w:t>
            </w:r>
            <w:r>
              <w:t xml:space="preserve"> developments.  </w:t>
            </w:r>
            <w:r w:rsidR="0073277E">
              <w:t>A</w:t>
            </w:r>
            <w:r w:rsidR="00174435">
              <w:t xml:space="preserve"> large</w:t>
            </w:r>
            <w:r w:rsidR="00702B08">
              <w:t xml:space="preserve"> </w:t>
            </w:r>
            <w:r w:rsidR="0092611C">
              <w:t xml:space="preserve">retirement </w:t>
            </w:r>
            <w:r w:rsidR="00FC3AA9">
              <w:t xml:space="preserve">complex </w:t>
            </w:r>
            <w:r w:rsidR="00B63E45">
              <w:t xml:space="preserve">including three to four storey </w:t>
            </w:r>
            <w:r w:rsidR="00702B08">
              <w:t>apartment style</w:t>
            </w:r>
            <w:r>
              <w:t>d</w:t>
            </w:r>
            <w:r w:rsidR="00FC3AA9">
              <w:t xml:space="preserve"> buildings</w:t>
            </w:r>
            <w:r w:rsidR="00B63E45">
              <w:t xml:space="preserve"> </w:t>
            </w:r>
            <w:r w:rsidR="00702B08">
              <w:t>located east</w:t>
            </w:r>
            <w:r w:rsidR="00641F84">
              <w:t xml:space="preserve"> </w:t>
            </w:r>
            <w:r w:rsidR="0092611C">
              <w:t xml:space="preserve">of </w:t>
            </w:r>
            <w:r w:rsidR="00641F84">
              <w:t xml:space="preserve">the </w:t>
            </w:r>
            <w:r w:rsidR="006B776F">
              <w:t xml:space="preserve">corner of </w:t>
            </w:r>
            <w:r w:rsidR="00702B08">
              <w:t>Carramar Avenue</w:t>
            </w:r>
            <w:r w:rsidR="006B776F">
              <w:t xml:space="preserve"> and Coleman Parade</w:t>
            </w:r>
            <w:r w:rsidR="00FC3AA9">
              <w:t xml:space="preserve"> (Australian Unity Campbell Place Retirement Community)</w:t>
            </w:r>
            <w:r w:rsidR="00702B08">
              <w:t>.</w:t>
            </w:r>
            <w:r w:rsidR="00C718A5">
              <w:t xml:space="preserve">  </w:t>
            </w:r>
          </w:p>
          <w:p w:rsidR="00C718A5" w:rsidRPr="00851E10" w:rsidRDefault="00C718A5" w:rsidP="00683149">
            <w:pPr>
              <w:pStyle w:val="TitlePagetext"/>
            </w:pPr>
            <w:r>
              <w:t xml:space="preserve">The </w:t>
            </w:r>
            <w:r w:rsidR="00174435">
              <w:t>area</w:t>
            </w:r>
            <w:r>
              <w:t xml:space="preserve"> is well serviced by </w:t>
            </w:r>
            <w:r w:rsidR="00174435">
              <w:t>a range of retail, offices and community facilities</w:t>
            </w:r>
            <w:r w:rsidR="006B776F">
              <w:t xml:space="preserve"> </w:t>
            </w:r>
            <w:r w:rsidR="0092611C">
              <w:t xml:space="preserve">associated </w:t>
            </w:r>
            <w:r w:rsidR="000E2BF0">
              <w:t xml:space="preserve">with </w:t>
            </w:r>
            <w:r w:rsidR="0092611C">
              <w:t xml:space="preserve">the Glen </w:t>
            </w:r>
            <w:r w:rsidR="00B63E45">
              <w:t>Waverley</w:t>
            </w:r>
            <w:r w:rsidR="0092611C">
              <w:t xml:space="preserve"> Major Activity Centre</w:t>
            </w:r>
            <w:r w:rsidR="00CD4FC1">
              <w:t xml:space="preserve"> (GWMAC) </w:t>
            </w:r>
            <w:r w:rsidR="0092611C">
              <w:t>550m</w:t>
            </w:r>
            <w:r w:rsidR="000E2BF0">
              <w:t xml:space="preserve"> </w:t>
            </w:r>
            <w:r w:rsidR="0004673D">
              <w:t xml:space="preserve">to the </w:t>
            </w:r>
            <w:r w:rsidR="000E2BF0">
              <w:t>east</w:t>
            </w:r>
            <w:r w:rsidR="00CD4FC1">
              <w:t xml:space="preserve">, </w:t>
            </w:r>
            <w:r>
              <w:t>with train and bus services running along Coleman Parade.</w:t>
            </w:r>
          </w:p>
        </w:tc>
      </w:tr>
      <w:tr w:rsidR="00BF3D2F" w:rsidTr="00683149">
        <w:trPr>
          <w:cantSplit/>
        </w:trPr>
        <w:tc>
          <w:tcPr>
            <w:tcW w:w="1924" w:type="pct"/>
          </w:tcPr>
          <w:p w:rsidR="00BF3D2F" w:rsidRDefault="00BF3D2F" w:rsidP="00683149">
            <w:pPr>
              <w:pStyle w:val="TitlePagetext"/>
            </w:pPr>
            <w:r>
              <w:t>Tribunal inspection</w:t>
            </w:r>
          </w:p>
        </w:tc>
        <w:tc>
          <w:tcPr>
            <w:tcW w:w="3076" w:type="pct"/>
          </w:tcPr>
          <w:p w:rsidR="00BF3D2F" w:rsidRPr="00851E10" w:rsidRDefault="00DC5C4F" w:rsidP="00683149">
            <w:pPr>
              <w:pStyle w:val="TitlePagetext"/>
            </w:pPr>
            <w:r>
              <w:t>Undertaken 28 October 2019</w:t>
            </w:r>
            <w:r w:rsidR="000E2BF0">
              <w:t>.</w:t>
            </w:r>
          </w:p>
        </w:tc>
      </w:tr>
    </w:tbl>
    <w:p w:rsidR="00BF3D2F" w:rsidRDefault="00BF3D2F" w:rsidP="000E2BF0">
      <w:pPr>
        <w:pStyle w:val="Heading1"/>
      </w:pPr>
      <w:r>
        <w:br w:type="page"/>
      </w:r>
      <w:r w:rsidR="00404CB7">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BF3D2F" w:rsidRDefault="00BF3D2F" w:rsidP="00E200CF">
      <w:pPr>
        <w:pStyle w:val="Heading2"/>
      </w:pPr>
      <w:r>
        <w:t xml:space="preserve">What is this </w:t>
      </w:r>
      <w:r w:rsidRPr="004413F4">
        <w:t>proceeding</w:t>
      </w:r>
      <w:r>
        <w:t xml:space="preserve"> about?</w:t>
      </w:r>
    </w:p>
    <w:p w:rsidR="009A49D7" w:rsidRPr="00C718A5" w:rsidRDefault="009A49D7" w:rsidP="009A49D7">
      <w:pPr>
        <w:pStyle w:val="Para1"/>
      </w:pPr>
      <w:r w:rsidRPr="00C718A5">
        <w:t xml:space="preserve">This is an application by </w:t>
      </w:r>
      <w:r w:rsidR="007744DE" w:rsidRPr="00C718A5">
        <w:t>AusUrban Equity Pty Ltd</w:t>
      </w:r>
      <w:r w:rsidRPr="00C718A5">
        <w:t xml:space="preserve"> (the </w:t>
      </w:r>
      <w:r w:rsidR="006B776F">
        <w:t>a</w:t>
      </w:r>
      <w:r w:rsidRPr="00C718A5">
        <w:t xml:space="preserve">pplicant) under s77 of the </w:t>
      </w:r>
      <w:r w:rsidRPr="00C718A5">
        <w:rPr>
          <w:i/>
        </w:rPr>
        <w:t xml:space="preserve">Planning and Environment Act 1987, </w:t>
      </w:r>
      <w:r w:rsidR="0073277E">
        <w:t xml:space="preserve">to </w:t>
      </w:r>
      <w:r w:rsidRPr="00C718A5">
        <w:t>review the M</w:t>
      </w:r>
      <w:r w:rsidR="007744DE" w:rsidRPr="00C718A5">
        <w:t>onash City Council’s</w:t>
      </w:r>
      <w:r w:rsidRPr="00C718A5">
        <w:t xml:space="preserve"> (the council)</w:t>
      </w:r>
      <w:r w:rsidR="007744DE" w:rsidRPr="00C718A5">
        <w:t xml:space="preserve"> decision to refuse an application</w:t>
      </w:r>
      <w:r w:rsidRPr="00C718A5">
        <w:t xml:space="preserve"> for the construction of </w:t>
      </w:r>
      <w:r w:rsidR="007744DE" w:rsidRPr="00C718A5">
        <w:t>four</w:t>
      </w:r>
      <w:r w:rsidRPr="00C718A5">
        <w:t xml:space="preserve"> </w:t>
      </w:r>
      <w:r w:rsidR="007744DE" w:rsidRPr="00C718A5">
        <w:t>triple</w:t>
      </w:r>
      <w:r w:rsidRPr="00C718A5">
        <w:t xml:space="preserve"> storey dwellings at </w:t>
      </w:r>
      <w:r w:rsidR="007744DE" w:rsidRPr="00C718A5">
        <w:t>115</w:t>
      </w:r>
      <w:r w:rsidRPr="00C718A5">
        <w:t xml:space="preserve"> </w:t>
      </w:r>
      <w:r w:rsidR="007744DE" w:rsidRPr="00C718A5">
        <w:t xml:space="preserve">Coleman Parade, Glen </w:t>
      </w:r>
      <w:r w:rsidR="00B63E45">
        <w:t>Waverley</w:t>
      </w:r>
      <w:r w:rsidR="007744DE" w:rsidRPr="00C718A5">
        <w:t xml:space="preserve"> (the review site)</w:t>
      </w:r>
      <w:r w:rsidRPr="00C718A5">
        <w:t>.</w:t>
      </w:r>
    </w:p>
    <w:p w:rsidR="004162E2" w:rsidRDefault="00555FAE" w:rsidP="009A49D7">
      <w:pPr>
        <w:pStyle w:val="Para1"/>
      </w:pPr>
      <w:r>
        <w:t>Substituted plans</w:t>
      </w:r>
      <w:r>
        <w:rPr>
          <w:rStyle w:val="FootnoteReference"/>
        </w:rPr>
        <w:footnoteReference w:id="2"/>
      </w:r>
      <w:r>
        <w:t xml:space="preserve"> </w:t>
      </w:r>
      <w:r w:rsidR="00641F84">
        <w:t>propose</w:t>
      </w:r>
      <w:r>
        <w:t xml:space="preserve"> four </w:t>
      </w:r>
      <w:r w:rsidR="00191491">
        <w:t xml:space="preserve">attached </w:t>
      </w:r>
      <w:r w:rsidRPr="001049F9">
        <w:t xml:space="preserve">dwellings </w:t>
      </w:r>
      <w:r w:rsidR="004162E2">
        <w:t xml:space="preserve">with </w:t>
      </w:r>
      <w:r w:rsidRPr="001049F9">
        <w:t>double car garages</w:t>
      </w:r>
      <w:r w:rsidR="00191491">
        <w:t xml:space="preserve"> accessed by an existing crossover and driveway along the eastern boundary.  At ground level each dwelling has a m</w:t>
      </w:r>
      <w:r w:rsidRPr="001049F9">
        <w:t>aster bedroom</w:t>
      </w:r>
      <w:r w:rsidR="00191491">
        <w:t xml:space="preserve"> and </w:t>
      </w:r>
      <w:r w:rsidRPr="001049F9">
        <w:t>ensuite</w:t>
      </w:r>
      <w:r w:rsidR="00CB4B38">
        <w:t xml:space="preserve"> </w:t>
      </w:r>
      <w:r w:rsidR="00191491">
        <w:t xml:space="preserve">situated </w:t>
      </w:r>
      <w:r w:rsidRPr="001049F9">
        <w:t xml:space="preserve">on </w:t>
      </w:r>
      <w:r w:rsidR="00641F84">
        <w:t>the western boundary</w:t>
      </w:r>
      <w:r w:rsidR="00191491">
        <w:t xml:space="preserve"> with</w:t>
      </w:r>
      <w:r w:rsidR="00641F84">
        <w:t xml:space="preserve"> </w:t>
      </w:r>
      <w:r w:rsidRPr="001049F9">
        <w:t>laundr</w:t>
      </w:r>
      <w:r w:rsidR="00191491">
        <w:t>y</w:t>
      </w:r>
      <w:r w:rsidR="00641F84">
        <w:t xml:space="preserve"> and stairwell</w:t>
      </w:r>
      <w:r w:rsidR="004162E2">
        <w:t xml:space="preserve">.  </w:t>
      </w:r>
      <w:r w:rsidR="00641F84">
        <w:t>At f</w:t>
      </w:r>
      <w:r w:rsidRPr="001049F9">
        <w:t>irst floor</w:t>
      </w:r>
      <w:r w:rsidR="00641F84">
        <w:t xml:space="preserve"> the development </w:t>
      </w:r>
      <w:r w:rsidR="00A64C60">
        <w:t>cantilever</w:t>
      </w:r>
      <w:r w:rsidR="00641F84">
        <w:t>s</w:t>
      </w:r>
      <w:r w:rsidR="00A64C60">
        <w:t xml:space="preserve"> over the ground floor </w:t>
      </w:r>
      <w:r w:rsidR="00730123">
        <w:t xml:space="preserve">envelope </w:t>
      </w:r>
      <w:r w:rsidR="00A64C60">
        <w:t>along</w:t>
      </w:r>
      <w:r w:rsidR="00641F84">
        <w:t xml:space="preserve"> </w:t>
      </w:r>
      <w:r w:rsidR="00A64C60">
        <w:t xml:space="preserve">the east and west </w:t>
      </w:r>
      <w:r w:rsidR="00641F84">
        <w:t xml:space="preserve">side </w:t>
      </w:r>
      <w:r w:rsidR="00A64C60">
        <w:t>boundaries</w:t>
      </w:r>
      <w:r w:rsidR="008E61BF">
        <w:t xml:space="preserve">.  </w:t>
      </w:r>
      <w:r w:rsidR="00191491">
        <w:t>E</w:t>
      </w:r>
      <w:r w:rsidR="00641F84">
        <w:t xml:space="preserve">ach dwelling </w:t>
      </w:r>
      <w:r w:rsidRPr="001049F9">
        <w:t>includ</w:t>
      </w:r>
      <w:r w:rsidR="00191491">
        <w:t>es</w:t>
      </w:r>
      <w:r w:rsidRPr="001049F9">
        <w:t xml:space="preserve"> </w:t>
      </w:r>
      <w:r w:rsidR="004162E2">
        <w:t xml:space="preserve">a </w:t>
      </w:r>
      <w:r w:rsidRPr="001049F9">
        <w:t>second master bedroom</w:t>
      </w:r>
      <w:r w:rsidR="004162E2">
        <w:t>/</w:t>
      </w:r>
      <w:r w:rsidRPr="001049F9">
        <w:t>ensuite</w:t>
      </w:r>
      <w:r w:rsidR="004162E2">
        <w:t xml:space="preserve">, </w:t>
      </w:r>
      <w:r w:rsidRPr="001049F9">
        <w:t>kitchen/living/dining area</w:t>
      </w:r>
      <w:r w:rsidR="004162E2">
        <w:t>s</w:t>
      </w:r>
      <w:r w:rsidRPr="001049F9">
        <w:t xml:space="preserve"> and </w:t>
      </w:r>
      <w:r w:rsidR="0073277E">
        <w:t xml:space="preserve">private </w:t>
      </w:r>
      <w:r w:rsidRPr="001049F9">
        <w:t>balconies</w:t>
      </w:r>
      <w:r w:rsidR="00641F84">
        <w:t xml:space="preserve"> facing the western boundary</w:t>
      </w:r>
      <w:r w:rsidRPr="001049F9">
        <w:t xml:space="preserve">.  </w:t>
      </w:r>
      <w:r w:rsidR="00191491">
        <w:t>T</w:t>
      </w:r>
      <w:r w:rsidR="00641F84">
        <w:t>he s</w:t>
      </w:r>
      <w:r w:rsidRPr="001049F9">
        <w:t xml:space="preserve">econd floor </w:t>
      </w:r>
      <w:r w:rsidR="00191491">
        <w:t xml:space="preserve">also </w:t>
      </w:r>
      <w:r w:rsidR="008E61BF">
        <w:t>cantilever</w:t>
      </w:r>
      <w:r w:rsidR="00191491">
        <w:t xml:space="preserve">s </w:t>
      </w:r>
      <w:r w:rsidR="008E61BF">
        <w:t>over the ground floor along the eastern boundary</w:t>
      </w:r>
      <w:r w:rsidR="00191491">
        <w:t>,</w:t>
      </w:r>
      <w:r w:rsidR="008E61BF">
        <w:t xml:space="preserve"> with </w:t>
      </w:r>
      <w:r w:rsidR="00641F84">
        <w:t xml:space="preserve">each dwelling </w:t>
      </w:r>
      <w:r w:rsidRPr="001049F9">
        <w:t>includ</w:t>
      </w:r>
      <w:r w:rsidR="008E61BF">
        <w:t>ing</w:t>
      </w:r>
      <w:r>
        <w:t xml:space="preserve"> two additional </w:t>
      </w:r>
      <w:r w:rsidRPr="001049F9">
        <w:t>bedroom</w:t>
      </w:r>
      <w:r>
        <w:t>s</w:t>
      </w:r>
      <w:r w:rsidRPr="001049F9">
        <w:t>, bathroom and retreat</w:t>
      </w:r>
      <w:r w:rsidR="00A64C60">
        <w:t xml:space="preserve"> areas</w:t>
      </w:r>
      <w:r w:rsidRPr="001049F9">
        <w:t>.</w:t>
      </w:r>
      <w:r w:rsidR="00E75E77">
        <w:t xml:space="preserve"> </w:t>
      </w:r>
    </w:p>
    <w:p w:rsidR="009A49D7" w:rsidRPr="001049F9" w:rsidRDefault="00E75E77" w:rsidP="009A49D7">
      <w:pPr>
        <w:pStyle w:val="Para1"/>
      </w:pPr>
      <w:r>
        <w:t>D</w:t>
      </w:r>
      <w:r w:rsidR="00C718A5" w:rsidRPr="001049F9">
        <w:t xml:space="preserve">wellings </w:t>
      </w:r>
      <w:r>
        <w:t xml:space="preserve">are </w:t>
      </w:r>
      <w:r w:rsidR="00191491">
        <w:t>attached</w:t>
      </w:r>
      <w:r w:rsidR="00971A76">
        <w:t xml:space="preserve"> at all levels and </w:t>
      </w:r>
      <w:r w:rsidR="00C718A5" w:rsidRPr="001049F9">
        <w:t>set in a tandem arrangement down the site</w:t>
      </w:r>
      <w:r w:rsidR="009A49D7" w:rsidRPr="001049F9">
        <w:t>.</w:t>
      </w:r>
      <w:r w:rsidR="0073277E">
        <w:t xml:space="preserve">  </w:t>
      </w:r>
      <w:r w:rsidR="004162E2" w:rsidRPr="001049F9">
        <w:t>The proposed development</w:t>
      </w:r>
      <w:r w:rsidR="008E61BF">
        <w:t xml:space="preserve"> uses</w:t>
      </w:r>
      <w:r w:rsidR="004162E2">
        <w:t xml:space="preserve"> </w:t>
      </w:r>
      <w:r w:rsidR="004162E2" w:rsidRPr="001049F9">
        <w:t>contemporary styling</w:t>
      </w:r>
      <w:r w:rsidR="008E61BF">
        <w:t xml:space="preserve"> with </w:t>
      </w:r>
      <w:r w:rsidR="004162E2">
        <w:t xml:space="preserve">modern </w:t>
      </w:r>
      <w:r w:rsidR="004162E2" w:rsidRPr="001049F9">
        <w:t>architectural features</w:t>
      </w:r>
      <w:r w:rsidR="00730123">
        <w:t>, i</w:t>
      </w:r>
      <w:r w:rsidR="004162E2">
        <w:t xml:space="preserve">ncluding a variation of render and </w:t>
      </w:r>
      <w:r w:rsidR="00A64C60">
        <w:t xml:space="preserve">external </w:t>
      </w:r>
      <w:r w:rsidR="004162E2">
        <w:t>cladding</w:t>
      </w:r>
      <w:r w:rsidR="00A64C60">
        <w:t>, glazed windows</w:t>
      </w:r>
      <w:r w:rsidR="008E61BF">
        <w:t xml:space="preserve">, private </w:t>
      </w:r>
      <w:r w:rsidR="00A64C60">
        <w:t>balconies along the western boundary</w:t>
      </w:r>
      <w:r w:rsidR="008E61BF">
        <w:t>,</w:t>
      </w:r>
      <w:r w:rsidR="0073277E">
        <w:t xml:space="preserve"> with </w:t>
      </w:r>
      <w:r w:rsidR="0073277E" w:rsidRPr="001049F9">
        <w:t xml:space="preserve">flat roof form </w:t>
      </w:r>
      <w:r w:rsidR="0073277E">
        <w:t xml:space="preserve">and overall </w:t>
      </w:r>
      <w:r w:rsidR="0073277E" w:rsidRPr="001049F9">
        <w:t>height of 9.3m</w:t>
      </w:r>
      <w:r w:rsidR="00A64C60">
        <w:t>.</w:t>
      </w:r>
      <w:r w:rsidR="004162E2">
        <w:t xml:space="preserve"> </w:t>
      </w:r>
    </w:p>
    <w:p w:rsidR="009A49D7" w:rsidRPr="001049F9" w:rsidRDefault="0073277E" w:rsidP="009A49D7">
      <w:pPr>
        <w:pStyle w:val="Para1"/>
      </w:pPr>
      <w:r>
        <w:t>S</w:t>
      </w:r>
      <w:r w:rsidR="009A49D7" w:rsidRPr="001049F9">
        <w:t xml:space="preserve">ite coverage </w:t>
      </w:r>
      <w:r>
        <w:t xml:space="preserve">is </w:t>
      </w:r>
      <w:r w:rsidR="008E61BF">
        <w:t xml:space="preserve">proposed at </w:t>
      </w:r>
      <w:r w:rsidR="001F28FC" w:rsidRPr="001049F9">
        <w:t>58</w:t>
      </w:r>
      <w:r w:rsidR="009A49D7" w:rsidRPr="001049F9">
        <w:t>%, permeable area</w:t>
      </w:r>
      <w:r w:rsidR="008E61BF">
        <w:t xml:space="preserve"> </w:t>
      </w:r>
      <w:r w:rsidR="009A49D7" w:rsidRPr="001049F9">
        <w:t>35%</w:t>
      </w:r>
      <w:r w:rsidR="008E61BF">
        <w:t xml:space="preserve"> and </w:t>
      </w:r>
      <w:r>
        <w:t xml:space="preserve">a </w:t>
      </w:r>
      <w:r w:rsidR="009A49D7" w:rsidRPr="001049F9">
        <w:t>minimum garden area of 35%.</w:t>
      </w:r>
      <w:r w:rsidR="00730123">
        <w:t xml:space="preserve">  </w:t>
      </w:r>
      <w:r w:rsidR="008E61BF">
        <w:t xml:space="preserve">The development is set back 5.0m from the frontage and 4.9m from the rear boundary.  </w:t>
      </w:r>
      <w:r w:rsidR="00971A76">
        <w:t xml:space="preserve">A range of side setbacks are proposed.  </w:t>
      </w:r>
      <w:r w:rsidR="00730123">
        <w:t>S</w:t>
      </w:r>
      <w:r w:rsidR="001F28FC" w:rsidRPr="001049F9">
        <w:t>ervice yard</w:t>
      </w:r>
      <w:r w:rsidR="00730123">
        <w:t>s</w:t>
      </w:r>
      <w:r w:rsidR="001F28FC" w:rsidRPr="001049F9">
        <w:t xml:space="preserve"> </w:t>
      </w:r>
      <w:r w:rsidR="00730123">
        <w:t xml:space="preserve">are </w:t>
      </w:r>
      <w:r w:rsidR="001F28FC" w:rsidRPr="001049F9">
        <w:t xml:space="preserve">provided </w:t>
      </w:r>
      <w:r w:rsidR="00971A76">
        <w:t xml:space="preserve">at ground level facing </w:t>
      </w:r>
      <w:r w:rsidR="00F13023">
        <w:t xml:space="preserve">the western boundary of </w:t>
      </w:r>
      <w:r w:rsidR="001F28FC" w:rsidRPr="001049F9">
        <w:t>each dwelling</w:t>
      </w:r>
      <w:r w:rsidR="00971A76">
        <w:t>,</w:t>
      </w:r>
      <w:r w:rsidR="00F13023">
        <w:t xml:space="preserve"> </w:t>
      </w:r>
      <w:r w:rsidR="001F28FC" w:rsidRPr="001049F9">
        <w:t xml:space="preserve">ranging </w:t>
      </w:r>
      <w:r w:rsidR="00971A76">
        <w:t xml:space="preserve">in size </w:t>
      </w:r>
      <w:r w:rsidR="00F13023">
        <w:t>from</w:t>
      </w:r>
      <w:r w:rsidR="001F28FC" w:rsidRPr="001049F9">
        <w:t xml:space="preserve"> </w:t>
      </w:r>
      <w:r w:rsidR="00F13023">
        <w:t>13.1</w:t>
      </w:r>
      <w:r w:rsidR="001F28FC" w:rsidRPr="001049F9">
        <w:t>sqm up to 14.8sqm</w:t>
      </w:r>
      <w:r w:rsidR="009A49D7" w:rsidRPr="001049F9">
        <w:t>.</w:t>
      </w:r>
      <w:r w:rsidR="001F28FC" w:rsidRPr="001049F9">
        <w:t xml:space="preserve">  </w:t>
      </w:r>
      <w:r w:rsidR="00730123">
        <w:t>B</w:t>
      </w:r>
      <w:r w:rsidR="001F28FC" w:rsidRPr="001049F9">
        <w:t>alconies</w:t>
      </w:r>
      <w:r w:rsidR="00F13023">
        <w:t xml:space="preserve"> </w:t>
      </w:r>
      <w:r w:rsidR="00971A76">
        <w:t xml:space="preserve">also </w:t>
      </w:r>
      <w:r w:rsidR="00F13023">
        <w:t>fac</w:t>
      </w:r>
      <w:r w:rsidR="00971A76">
        <w:t>e</w:t>
      </w:r>
      <w:r w:rsidR="00F13023">
        <w:t xml:space="preserve"> the western boundary</w:t>
      </w:r>
      <w:r w:rsidR="001F28FC" w:rsidRPr="001049F9">
        <w:t xml:space="preserve"> at first floor</w:t>
      </w:r>
      <w:r w:rsidR="00971A76">
        <w:t>,</w:t>
      </w:r>
      <w:r w:rsidR="001F28FC" w:rsidRPr="001049F9">
        <w:t xml:space="preserve"> rang</w:t>
      </w:r>
      <w:r w:rsidR="00971A76">
        <w:t>ing in area</w:t>
      </w:r>
      <w:r w:rsidR="001F28FC" w:rsidRPr="001049F9">
        <w:t xml:space="preserve"> </w:t>
      </w:r>
      <w:r w:rsidR="00F13023">
        <w:t xml:space="preserve">from </w:t>
      </w:r>
      <w:r w:rsidR="001F28FC" w:rsidRPr="001049F9">
        <w:t xml:space="preserve">8.4sqm up to 10.4sqm. </w:t>
      </w:r>
    </w:p>
    <w:p w:rsidR="009A49D7" w:rsidRDefault="009A49D7" w:rsidP="009A49D7">
      <w:pPr>
        <w:pStyle w:val="Para1"/>
      </w:pPr>
      <w:r w:rsidRPr="001049F9">
        <w:t xml:space="preserve">The council’s </w:t>
      </w:r>
      <w:r w:rsidR="00F13023">
        <w:t xml:space="preserve">grounds of refusal </w:t>
      </w:r>
      <w:r w:rsidR="00971A76">
        <w:t xml:space="preserve">include concerns around </w:t>
      </w:r>
      <w:r w:rsidRPr="001049F9">
        <w:t xml:space="preserve">neighbourhood character, overdevelopment, </w:t>
      </w:r>
      <w:r w:rsidR="00971A76">
        <w:t xml:space="preserve">excessive </w:t>
      </w:r>
      <w:r w:rsidR="0073277E">
        <w:t xml:space="preserve">building </w:t>
      </w:r>
      <w:r w:rsidR="001049F9" w:rsidRPr="001049F9">
        <w:t>bulk</w:t>
      </w:r>
      <w:r w:rsidRPr="001049F9">
        <w:t xml:space="preserve">, </w:t>
      </w:r>
      <w:r w:rsidR="0073277E">
        <w:t xml:space="preserve">lack of </w:t>
      </w:r>
      <w:r w:rsidRPr="001049F9">
        <w:t xml:space="preserve">landscaping, clause 55 </w:t>
      </w:r>
      <w:r w:rsidR="0073277E">
        <w:t>compliance</w:t>
      </w:r>
      <w:r w:rsidRPr="001049F9">
        <w:t>,</w:t>
      </w:r>
      <w:r w:rsidR="001049F9" w:rsidRPr="001049F9">
        <w:t xml:space="preserve"> </w:t>
      </w:r>
      <w:r w:rsidR="00971A76">
        <w:t xml:space="preserve">poor </w:t>
      </w:r>
      <w:r w:rsidR="001049F9" w:rsidRPr="001049F9">
        <w:t>carparking access</w:t>
      </w:r>
      <w:r w:rsidR="00971A76">
        <w:t>, surveillance</w:t>
      </w:r>
      <w:r w:rsidR="00592C08">
        <w:t xml:space="preserve"> </w:t>
      </w:r>
      <w:r w:rsidR="001049F9" w:rsidRPr="001049F9">
        <w:t>and amenity impacts</w:t>
      </w:r>
      <w:r w:rsidRPr="001049F9">
        <w:t>.</w:t>
      </w:r>
    </w:p>
    <w:p w:rsidR="00592C08" w:rsidRPr="001049F9" w:rsidRDefault="00592C08" w:rsidP="009A49D7">
      <w:pPr>
        <w:pStyle w:val="Para1"/>
      </w:pPr>
      <w:r>
        <w:t>The applicant submits the proposal is consistent with State and Local Planning Policy, located within the highest order activity centre within Monash, appropriately manages site amenity impacts and integrates relevant planning considerations in service of net community benefit.</w:t>
      </w:r>
    </w:p>
    <w:p w:rsidR="0095590D" w:rsidRPr="00672E6B" w:rsidRDefault="00404CB7" w:rsidP="009A49D7">
      <w:pPr>
        <w:pStyle w:val="Heading2"/>
      </w:pPr>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6"/>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92C08" w:rsidRPr="00672E6B">
        <w:t>Amendment C125 part 2 to the monash planning scheme</w:t>
      </w:r>
    </w:p>
    <w:p w:rsidR="0095590D" w:rsidRPr="00672E6B" w:rsidRDefault="00730123" w:rsidP="0095590D">
      <w:pPr>
        <w:pStyle w:val="Para1"/>
      </w:pPr>
      <w:r>
        <w:t>Following the hearing A</w:t>
      </w:r>
      <w:r w:rsidR="00FD69FD" w:rsidRPr="00672E6B">
        <w:t>mendment C125 Part 2</w:t>
      </w:r>
      <w:r w:rsidR="006C6A28" w:rsidRPr="00672E6B">
        <w:t xml:space="preserve"> (</w:t>
      </w:r>
      <w:r w:rsidR="00D44461">
        <w:t>the amendment</w:t>
      </w:r>
      <w:r w:rsidR="006C6A28" w:rsidRPr="00672E6B">
        <w:t>)</w:t>
      </w:r>
      <w:r w:rsidR="00FD69FD" w:rsidRPr="00672E6B">
        <w:t xml:space="preserve"> was formally approved and gazetted </w:t>
      </w:r>
      <w:r w:rsidR="006C6A28" w:rsidRPr="00672E6B">
        <w:t>into the Scheme</w:t>
      </w:r>
      <w:r w:rsidR="00971A76">
        <w:t xml:space="preserve"> on </w:t>
      </w:r>
      <w:r w:rsidR="00FD69FD" w:rsidRPr="00672E6B">
        <w:t>14 November</w:t>
      </w:r>
      <w:r>
        <w:t xml:space="preserve"> 2019</w:t>
      </w:r>
      <w:r w:rsidR="00FD69FD" w:rsidRPr="00672E6B">
        <w:t>.</w:t>
      </w:r>
      <w:r>
        <w:t xml:space="preserve">  </w:t>
      </w:r>
      <w:r w:rsidR="00FD69FD" w:rsidRPr="00672E6B">
        <w:t>I provided a</w:t>
      </w:r>
      <w:r w:rsidR="006450D2" w:rsidRPr="00672E6B">
        <w:t xml:space="preserve">n </w:t>
      </w:r>
      <w:r w:rsidR="00FD69FD" w:rsidRPr="00672E6B">
        <w:t>opportunity for the parties</w:t>
      </w:r>
      <w:r w:rsidR="006450D2" w:rsidRPr="00672E6B">
        <w:t xml:space="preserve"> to make further written submissions</w:t>
      </w:r>
      <w:r w:rsidR="0073277E">
        <w:t xml:space="preserve"> </w:t>
      </w:r>
      <w:r w:rsidR="006450D2" w:rsidRPr="00672E6B">
        <w:t>should they wish</w:t>
      </w:r>
      <w:r w:rsidR="0073277E">
        <w:t xml:space="preserve">, </w:t>
      </w:r>
      <w:r w:rsidR="006450D2" w:rsidRPr="00672E6B">
        <w:t>on the impacts</w:t>
      </w:r>
      <w:r w:rsidR="0004323A">
        <w:t xml:space="preserve"> </w:t>
      </w:r>
      <w:r w:rsidR="006450D2" w:rsidRPr="00672E6B">
        <w:t xml:space="preserve">of </w:t>
      </w:r>
      <w:r w:rsidR="0073277E">
        <w:t xml:space="preserve">the amendment </w:t>
      </w:r>
      <w:r w:rsidR="00C17D50">
        <w:t>on</w:t>
      </w:r>
      <w:r w:rsidR="006450D2" w:rsidRPr="00672E6B">
        <w:t xml:space="preserve"> the propos</w:t>
      </w:r>
      <w:r w:rsidR="00971A76">
        <w:t>al</w:t>
      </w:r>
      <w:r w:rsidR="006450D2" w:rsidRPr="00672E6B">
        <w:t>.</w:t>
      </w:r>
    </w:p>
    <w:p w:rsidR="0004323A" w:rsidRDefault="006450D2" w:rsidP="0095590D">
      <w:pPr>
        <w:pStyle w:val="Para1"/>
      </w:pPr>
      <w:r w:rsidRPr="00672E6B">
        <w:t xml:space="preserve">The council </w:t>
      </w:r>
      <w:r w:rsidR="006C6A28" w:rsidRPr="00672E6B">
        <w:t>emailed</w:t>
      </w:r>
      <w:r w:rsidRPr="00672E6B">
        <w:t xml:space="preserve"> </w:t>
      </w:r>
      <w:r w:rsidR="00730123">
        <w:t xml:space="preserve">its </w:t>
      </w:r>
      <w:r w:rsidRPr="00672E6B">
        <w:t>written submission dated 3 December 2019.  It noted no zoning</w:t>
      </w:r>
      <w:r w:rsidR="006C6A28" w:rsidRPr="00672E6B">
        <w:t xml:space="preserve"> or overlay</w:t>
      </w:r>
      <w:r w:rsidRPr="00672E6B">
        <w:t xml:space="preserve"> changes resulted from the amendment</w:t>
      </w:r>
      <w:r w:rsidR="00461044" w:rsidRPr="00672E6B">
        <w:rPr>
          <w:rStyle w:val="FootnoteReference"/>
        </w:rPr>
        <w:footnoteReference w:id="3"/>
      </w:r>
      <w:r w:rsidRPr="00672E6B">
        <w:t xml:space="preserve">.  </w:t>
      </w:r>
      <w:r w:rsidR="00F93626">
        <w:t xml:space="preserve">However, </w:t>
      </w:r>
      <w:r w:rsidR="00971A76">
        <w:t xml:space="preserve">it submitted </w:t>
      </w:r>
      <w:r w:rsidRPr="00672E6B">
        <w:t xml:space="preserve">clause 22.01 was amended </w:t>
      </w:r>
      <w:r w:rsidR="00F93626">
        <w:t xml:space="preserve">by </w:t>
      </w:r>
      <w:r w:rsidRPr="00672E6B">
        <w:t>delet</w:t>
      </w:r>
      <w:r w:rsidR="00F93626">
        <w:t>ing</w:t>
      </w:r>
      <w:r w:rsidRPr="00672E6B">
        <w:t xml:space="preserve"> existing neighbourhood character statements and </w:t>
      </w:r>
      <w:r w:rsidR="00461044" w:rsidRPr="00672E6B">
        <w:t>combin</w:t>
      </w:r>
      <w:r w:rsidR="00F93626">
        <w:t>ing</w:t>
      </w:r>
      <w:r w:rsidR="00461044" w:rsidRPr="00672E6B">
        <w:t xml:space="preserve"> </w:t>
      </w:r>
      <w:r w:rsidRPr="00672E6B">
        <w:t xml:space="preserve">similar preferred character statements.  The review site </w:t>
      </w:r>
      <w:r w:rsidR="00B5690C" w:rsidRPr="00672E6B">
        <w:t>was</w:t>
      </w:r>
      <w:r w:rsidRPr="00672E6B">
        <w:t xml:space="preserve"> now </w:t>
      </w:r>
      <w:r w:rsidR="00C17AB8">
        <w:t>identified</w:t>
      </w:r>
      <w:r w:rsidRPr="00672E6B">
        <w:t xml:space="preserve"> in</w:t>
      </w:r>
      <w:r w:rsidR="00DA6E22">
        <w:t xml:space="preserve"> </w:t>
      </w:r>
      <w:r w:rsidR="00753DCE">
        <w:t xml:space="preserve">the Monash </w:t>
      </w:r>
      <w:r w:rsidR="00DA6E22">
        <w:t>Residual Residential Area</w:t>
      </w:r>
      <w:r w:rsidR="006C6A28" w:rsidRPr="00672E6B">
        <w:t xml:space="preserve">.  </w:t>
      </w:r>
      <w:r w:rsidR="00971A76">
        <w:t>T</w:t>
      </w:r>
      <w:r w:rsidR="006C6A28" w:rsidRPr="00672E6B">
        <w:t xml:space="preserve">he council </w:t>
      </w:r>
      <w:r w:rsidR="00753DCE">
        <w:t>note</w:t>
      </w:r>
      <w:r w:rsidR="00F93626">
        <w:t>d</w:t>
      </w:r>
      <w:r w:rsidR="00753DCE">
        <w:t xml:space="preserve"> </w:t>
      </w:r>
      <w:r w:rsidR="00461044" w:rsidRPr="00672E6B">
        <w:t>th</w:t>
      </w:r>
      <w:r w:rsidR="00F93626">
        <w:t>e amended</w:t>
      </w:r>
      <w:r w:rsidR="00461044" w:rsidRPr="00672E6B">
        <w:t xml:space="preserve"> </w:t>
      </w:r>
      <w:r w:rsidR="001D664A">
        <w:t xml:space="preserve">clause </w:t>
      </w:r>
      <w:r w:rsidR="00461044" w:rsidRPr="00672E6B">
        <w:t>d</w:t>
      </w:r>
      <w:r w:rsidR="00F93626">
        <w:t>id</w:t>
      </w:r>
      <w:r w:rsidR="00461044" w:rsidRPr="00672E6B">
        <w:t xml:space="preserve"> not provide a </w:t>
      </w:r>
      <w:r w:rsidR="00971A76">
        <w:t>‘</w:t>
      </w:r>
      <w:r w:rsidR="00461044" w:rsidRPr="00672E6B">
        <w:t xml:space="preserve">preferred future character </w:t>
      </w:r>
      <w:r w:rsidR="00672E6B" w:rsidRPr="00672E6B">
        <w:t>statement</w:t>
      </w:r>
      <w:r w:rsidR="00971A76">
        <w:t>’</w:t>
      </w:r>
      <w:r w:rsidR="001D664A">
        <w:t xml:space="preserve"> for this Area</w:t>
      </w:r>
      <w:r w:rsidR="00672E6B" w:rsidRPr="00672E6B">
        <w:t xml:space="preserve">.  </w:t>
      </w:r>
    </w:p>
    <w:p w:rsidR="0004323A" w:rsidRDefault="0004323A" w:rsidP="0004323A">
      <w:pPr>
        <w:pStyle w:val="Para1"/>
      </w:pPr>
      <w:r>
        <w:t xml:space="preserve">The council </w:t>
      </w:r>
      <w:r w:rsidR="00DA6E22">
        <w:t>s</w:t>
      </w:r>
      <w:r>
        <w:t>ubmits</w:t>
      </w:r>
      <w:r w:rsidR="00DA6E22">
        <w:t xml:space="preserve"> </w:t>
      </w:r>
      <w:r w:rsidR="00461044" w:rsidRPr="00672E6B">
        <w:t xml:space="preserve">the </w:t>
      </w:r>
      <w:r w:rsidR="00DA6E22">
        <w:t xml:space="preserve">zone and </w:t>
      </w:r>
      <w:r w:rsidR="00461044" w:rsidRPr="00672E6B">
        <w:t>schedule requirements of GRZ7, together with the Monash Housing Strategy</w:t>
      </w:r>
      <w:r w:rsidR="00CD4FC1">
        <w:t xml:space="preserve"> </w:t>
      </w:r>
      <w:r w:rsidR="00753DCE">
        <w:t>2014</w:t>
      </w:r>
      <w:r w:rsidR="00CD4FC1">
        <w:t xml:space="preserve"> (the </w:t>
      </w:r>
      <w:r w:rsidR="00E818DB">
        <w:t xml:space="preserve">Housing </w:t>
      </w:r>
      <w:r w:rsidR="00CD4FC1">
        <w:t>Strategy)</w:t>
      </w:r>
      <w:r w:rsidR="00753DCE">
        <w:t xml:space="preserve"> </w:t>
      </w:r>
      <w:r w:rsidR="00461044" w:rsidRPr="00672E6B">
        <w:t xml:space="preserve">and clause 22.14 </w:t>
      </w:r>
      <w:r w:rsidR="00DA6E22">
        <w:t>(Glen Waverley</w:t>
      </w:r>
      <w:r w:rsidR="00CD4FC1">
        <w:t xml:space="preserve"> Major</w:t>
      </w:r>
      <w:r w:rsidR="00DA6E22">
        <w:t xml:space="preserve"> Activity Centre </w:t>
      </w:r>
      <w:r w:rsidR="00CD4FC1">
        <w:t>Structure Plan</w:t>
      </w:r>
      <w:r w:rsidR="00461044" w:rsidRPr="00672E6B">
        <w:t>)</w:t>
      </w:r>
      <w:r w:rsidR="00753DCE">
        <w:rPr>
          <w:rStyle w:val="FootnoteReference"/>
        </w:rPr>
        <w:footnoteReference w:id="4"/>
      </w:r>
      <w:r w:rsidR="00461044" w:rsidRPr="00672E6B">
        <w:t xml:space="preserve"> </w:t>
      </w:r>
      <w:r>
        <w:t xml:space="preserve">continue to </w:t>
      </w:r>
      <w:r w:rsidR="00461044" w:rsidRPr="00672E6B">
        <w:t>provid</w:t>
      </w:r>
      <w:r w:rsidR="00672E6B" w:rsidRPr="00672E6B">
        <w:t>e</w:t>
      </w:r>
      <w:r w:rsidR="00461044" w:rsidRPr="00672E6B">
        <w:t xml:space="preserve"> </w:t>
      </w:r>
      <w:r w:rsidR="006C6A28" w:rsidRPr="00672E6B">
        <w:t xml:space="preserve">appropriate </w:t>
      </w:r>
      <w:r w:rsidR="00461044" w:rsidRPr="00672E6B">
        <w:t>guidance on desired future character</w:t>
      </w:r>
      <w:r>
        <w:t xml:space="preserve"> outcomes sought for th</w:t>
      </w:r>
      <w:r w:rsidR="00CD4FC1">
        <w:t>e review site and surrounds</w:t>
      </w:r>
      <w:r w:rsidR="00461044" w:rsidRPr="00672E6B">
        <w:t>.</w:t>
      </w:r>
      <w:r>
        <w:t xml:space="preserve">  I</w:t>
      </w:r>
      <w:r w:rsidR="00753DCE">
        <w:t xml:space="preserve">t </w:t>
      </w:r>
      <w:r>
        <w:t xml:space="preserve">says it </w:t>
      </w:r>
      <w:r w:rsidR="00753DCE">
        <w:t>ha</w:t>
      </w:r>
      <w:r w:rsidR="0045158A">
        <w:t>s</w:t>
      </w:r>
      <w:r w:rsidR="00753DCE">
        <w:t xml:space="preserve"> assessed the proposed development against the preferred character statement found in the </w:t>
      </w:r>
      <w:r w:rsidR="00E818DB">
        <w:t xml:space="preserve">Housing </w:t>
      </w:r>
      <w:r w:rsidR="00753DCE">
        <w:t xml:space="preserve">Strategy and clause 22.14 </w:t>
      </w:r>
      <w:r>
        <w:t>provisions</w:t>
      </w:r>
      <w:r w:rsidR="00971A76">
        <w:t xml:space="preserve"> and </w:t>
      </w:r>
      <w:r>
        <w:t>concluded</w:t>
      </w:r>
      <w:r w:rsidR="00753DCE">
        <w:t xml:space="preserve"> the proposal did not satisfy the</w:t>
      </w:r>
      <w:r w:rsidR="0045158A">
        <w:t xml:space="preserve"> preferred character</w:t>
      </w:r>
      <w:r>
        <w:t xml:space="preserve"> outcomes sought for the site and surrounds</w:t>
      </w:r>
      <w:r w:rsidR="00753DCE">
        <w:t xml:space="preserve">.  </w:t>
      </w:r>
    </w:p>
    <w:p w:rsidR="006450D2" w:rsidRPr="00672E6B" w:rsidRDefault="0095277F" w:rsidP="0004323A">
      <w:pPr>
        <w:pStyle w:val="Para1"/>
      </w:pPr>
      <w:r>
        <w:t>T</w:t>
      </w:r>
      <w:r w:rsidR="00461044" w:rsidRPr="00672E6B">
        <w:t xml:space="preserve">he council </w:t>
      </w:r>
      <w:r>
        <w:t xml:space="preserve">also </w:t>
      </w:r>
      <w:r w:rsidR="006B491B">
        <w:t>s</w:t>
      </w:r>
      <w:r>
        <w:t>ays</w:t>
      </w:r>
      <w:r w:rsidR="006C6A28" w:rsidRPr="00672E6B">
        <w:t xml:space="preserve"> </w:t>
      </w:r>
      <w:r w:rsidR="00461044" w:rsidRPr="00672E6B">
        <w:t>amend</w:t>
      </w:r>
      <w:r>
        <w:t xml:space="preserve">ments to </w:t>
      </w:r>
      <w:r w:rsidR="00E818DB">
        <w:t xml:space="preserve">sub </w:t>
      </w:r>
      <w:r w:rsidR="00461044" w:rsidRPr="00672E6B">
        <w:t>clause 22.01</w:t>
      </w:r>
      <w:r w:rsidR="00D44461">
        <w:t>-</w:t>
      </w:r>
      <w:r w:rsidR="00C17D50">
        <w:t>3</w:t>
      </w:r>
      <w:r w:rsidR="00461044" w:rsidRPr="00672E6B">
        <w:t xml:space="preserve"> </w:t>
      </w:r>
      <w:r>
        <w:t xml:space="preserve">further </w:t>
      </w:r>
      <w:r w:rsidR="00461044" w:rsidRPr="00672E6B">
        <w:t xml:space="preserve">supports its </w:t>
      </w:r>
      <w:r w:rsidR="0045158A">
        <w:t>decision</w:t>
      </w:r>
      <w:r w:rsidR="00461044" w:rsidRPr="00672E6B">
        <w:t xml:space="preserve"> </w:t>
      </w:r>
      <w:r w:rsidR="0004323A">
        <w:t xml:space="preserve">to refuse a permit for the </w:t>
      </w:r>
      <w:r w:rsidR="00461044" w:rsidRPr="00672E6B">
        <w:t>proposed development</w:t>
      </w:r>
      <w:r w:rsidR="0004323A">
        <w:t xml:space="preserve">.  </w:t>
      </w:r>
      <w:r>
        <w:t xml:space="preserve">It submits </w:t>
      </w:r>
      <w:r w:rsidR="006B491B">
        <w:t xml:space="preserve">changes to </w:t>
      </w:r>
      <w:r w:rsidR="00461044" w:rsidRPr="00672E6B">
        <w:t>built</w:t>
      </w:r>
      <w:r w:rsidR="00B5690C" w:rsidRPr="00672E6B">
        <w:t xml:space="preserve"> </w:t>
      </w:r>
      <w:r w:rsidR="00461044" w:rsidRPr="00672E6B">
        <w:t>form</w:t>
      </w:r>
      <w:r w:rsidR="00D44461">
        <w:t>, d</w:t>
      </w:r>
      <w:r w:rsidR="00461044" w:rsidRPr="00672E6B">
        <w:t>evelopment</w:t>
      </w:r>
      <w:r w:rsidR="00D44461">
        <w:t xml:space="preserve"> scale</w:t>
      </w:r>
      <w:r w:rsidR="00461044" w:rsidRPr="00672E6B">
        <w:t>, side and rear setbacks, private open space (POS) and landscaping provisions</w:t>
      </w:r>
      <w:r w:rsidR="00E818DB">
        <w:t xml:space="preserve"> have not been appropriately addressed</w:t>
      </w:r>
      <w:r w:rsidR="00461044" w:rsidRPr="00672E6B">
        <w:t>.</w:t>
      </w:r>
    </w:p>
    <w:p w:rsidR="00D6423A" w:rsidRDefault="00B5690C" w:rsidP="0095277F">
      <w:pPr>
        <w:pStyle w:val="Para1"/>
      </w:pPr>
      <w:r w:rsidRPr="00672E6B">
        <w:t xml:space="preserve">The applicant provided </w:t>
      </w:r>
      <w:r w:rsidR="006B491B">
        <w:t xml:space="preserve">its </w:t>
      </w:r>
      <w:r w:rsidRPr="00672E6B">
        <w:t>written submission</w:t>
      </w:r>
      <w:r w:rsidR="006B491B">
        <w:t xml:space="preserve"> </w:t>
      </w:r>
      <w:r w:rsidRPr="00672E6B">
        <w:t>on 16 December 2019.  I</w:t>
      </w:r>
      <w:r w:rsidR="00437385" w:rsidRPr="00672E6B">
        <w:t>t</w:t>
      </w:r>
      <w:r w:rsidRPr="00672E6B">
        <w:t xml:space="preserve"> agree</w:t>
      </w:r>
      <w:r w:rsidR="006B491B">
        <w:t>d</w:t>
      </w:r>
      <w:r w:rsidRPr="00672E6B">
        <w:t xml:space="preserve"> with the council that </w:t>
      </w:r>
      <w:r w:rsidR="0045158A">
        <w:t xml:space="preserve">site </w:t>
      </w:r>
      <w:r w:rsidRPr="00672E6B">
        <w:t>zoning</w:t>
      </w:r>
      <w:r w:rsidR="006C6A28" w:rsidRPr="00672E6B">
        <w:t xml:space="preserve"> </w:t>
      </w:r>
      <w:r w:rsidR="006B491B">
        <w:t>remained unchanged</w:t>
      </w:r>
      <w:r w:rsidRPr="00672E6B">
        <w:t>.  However</w:t>
      </w:r>
      <w:r w:rsidR="00437385" w:rsidRPr="00672E6B">
        <w:t>,</w:t>
      </w:r>
      <w:r w:rsidRPr="00672E6B">
        <w:t xml:space="preserve"> it submit</w:t>
      </w:r>
      <w:r w:rsidR="006B491B">
        <w:t>ted</w:t>
      </w:r>
      <w:r w:rsidRPr="00672E6B">
        <w:t xml:space="preserve"> th</w:t>
      </w:r>
      <w:r w:rsidR="00437385" w:rsidRPr="00672E6B">
        <w:t xml:space="preserve">e </w:t>
      </w:r>
      <w:r w:rsidRPr="00672E6B">
        <w:t>council ha</w:t>
      </w:r>
      <w:r w:rsidR="006B491B">
        <w:t>d</w:t>
      </w:r>
      <w:r w:rsidRPr="00672E6B">
        <w:t xml:space="preserve"> ignored the strategic context of the site set out in revised clause 21.04.</w:t>
      </w:r>
      <w:r w:rsidR="0055484C">
        <w:t xml:space="preserve">  </w:t>
      </w:r>
      <w:r w:rsidR="00D44461">
        <w:t xml:space="preserve">The applicant says </w:t>
      </w:r>
      <w:r w:rsidRPr="00672E6B">
        <w:t>th</w:t>
      </w:r>
      <w:r w:rsidR="0004323A">
        <w:t xml:space="preserve">e amendment </w:t>
      </w:r>
      <w:r w:rsidR="0095277F">
        <w:t xml:space="preserve">strengthens the merits of the development by reinforcing the site </w:t>
      </w:r>
      <w:r w:rsidRPr="00672E6B">
        <w:t>in an area</w:t>
      </w:r>
      <w:r w:rsidR="00437385" w:rsidRPr="00672E6B">
        <w:t xml:space="preserve"> with the </w:t>
      </w:r>
      <w:r w:rsidR="0004323A">
        <w:t>‘</w:t>
      </w:r>
      <w:r w:rsidR="00437385" w:rsidRPr="0095277F">
        <w:rPr>
          <w:i/>
          <w:iCs/>
        </w:rPr>
        <w:t>highest development potential in the municipality.</w:t>
      </w:r>
      <w:r w:rsidR="0004323A" w:rsidRPr="0095277F">
        <w:rPr>
          <w:i/>
          <w:iCs/>
        </w:rPr>
        <w:t>’</w:t>
      </w:r>
      <w:r w:rsidR="00437385" w:rsidRPr="00672E6B">
        <w:t xml:space="preserve">  It </w:t>
      </w:r>
      <w:r w:rsidR="0004323A">
        <w:t xml:space="preserve">also </w:t>
      </w:r>
      <w:r w:rsidR="00C17AB8">
        <w:t>agreed with the council that</w:t>
      </w:r>
      <w:r w:rsidR="00437385" w:rsidRPr="00672E6B">
        <w:t xml:space="preserve"> the site remain</w:t>
      </w:r>
      <w:r w:rsidR="006B491B">
        <w:t>ed</w:t>
      </w:r>
      <w:r w:rsidR="00437385" w:rsidRPr="00672E6B">
        <w:t xml:space="preserve"> within the GWMAC</w:t>
      </w:r>
      <w:r w:rsidR="0004323A">
        <w:t xml:space="preserve">, submitting </w:t>
      </w:r>
      <w:r w:rsidR="00437385" w:rsidRPr="00672E6B">
        <w:t>clause 21.04</w:t>
      </w:r>
      <w:r w:rsidR="00D44461">
        <w:t xml:space="preserve"> now</w:t>
      </w:r>
      <w:r w:rsidR="0050064F">
        <w:t xml:space="preserve"> </w:t>
      </w:r>
      <w:r w:rsidR="00437385" w:rsidRPr="0050064F">
        <w:t>better reflect</w:t>
      </w:r>
      <w:r w:rsidR="0050064F">
        <w:t>ed</w:t>
      </w:r>
      <w:r w:rsidR="00437385" w:rsidRPr="0050064F">
        <w:t xml:space="preserve"> and focus</w:t>
      </w:r>
      <w:r w:rsidR="0050064F">
        <w:t>ed</w:t>
      </w:r>
      <w:r w:rsidR="00437385" w:rsidRPr="0050064F">
        <w:t xml:space="preserve"> </w:t>
      </w:r>
      <w:r w:rsidR="0050064F" w:rsidRPr="0050064F">
        <w:rPr>
          <w:i/>
          <w:iCs/>
        </w:rPr>
        <w:t>‘</w:t>
      </w:r>
      <w:r w:rsidR="00437385" w:rsidRPr="0050064F">
        <w:rPr>
          <w:i/>
          <w:iCs/>
        </w:rPr>
        <w:t>the aspirations for change which were already present within the Scheme.’</w:t>
      </w:r>
      <w:r w:rsidR="00437385" w:rsidRPr="00672E6B">
        <w:t xml:space="preserve">  </w:t>
      </w:r>
    </w:p>
    <w:p w:rsidR="00374DBF" w:rsidRDefault="0050064F" w:rsidP="0095590D">
      <w:pPr>
        <w:pStyle w:val="Para1"/>
      </w:pPr>
      <w:r>
        <w:t>T</w:t>
      </w:r>
      <w:r w:rsidR="00D6423A">
        <w:t xml:space="preserve">he applicant </w:t>
      </w:r>
      <w:r w:rsidR="00437385" w:rsidRPr="00672E6B">
        <w:t>d</w:t>
      </w:r>
      <w:r w:rsidR="006B491B">
        <w:t>id</w:t>
      </w:r>
      <w:r w:rsidR="00437385" w:rsidRPr="00672E6B">
        <w:t xml:space="preserve"> not agree with the council</w:t>
      </w:r>
      <w:r w:rsidR="0004673D">
        <w:t>, submitting</w:t>
      </w:r>
      <w:r w:rsidR="00437385" w:rsidRPr="00672E6B">
        <w:t xml:space="preserve"> that it </w:t>
      </w:r>
      <w:r w:rsidR="006B491B">
        <w:t>was</w:t>
      </w:r>
      <w:r w:rsidR="00437385" w:rsidRPr="00672E6B">
        <w:t xml:space="preserve"> </w:t>
      </w:r>
      <w:r w:rsidR="0004673D">
        <w:t xml:space="preserve">not </w:t>
      </w:r>
      <w:r w:rsidR="00437385" w:rsidRPr="00672E6B">
        <w:t xml:space="preserve">appropriate to </w:t>
      </w:r>
      <w:r w:rsidR="00DA6E22">
        <w:t>apply</w:t>
      </w:r>
      <w:r w:rsidR="00437385" w:rsidRPr="00672E6B">
        <w:t xml:space="preserve"> the </w:t>
      </w:r>
      <w:r w:rsidR="00437385" w:rsidRPr="00502933">
        <w:rPr>
          <w:i/>
          <w:iCs/>
        </w:rPr>
        <w:t>‘most onerous</w:t>
      </w:r>
      <w:r w:rsidR="006B491B" w:rsidRPr="00502933">
        <w:rPr>
          <w:i/>
          <w:iCs/>
        </w:rPr>
        <w:t>’</w:t>
      </w:r>
      <w:r w:rsidR="00437385" w:rsidRPr="00672E6B">
        <w:t xml:space="preserve"> interpretation of </w:t>
      </w:r>
      <w:r w:rsidR="00DA6E22" w:rsidRPr="00502933">
        <w:rPr>
          <w:i/>
          <w:iCs/>
        </w:rPr>
        <w:t>‘</w:t>
      </w:r>
      <w:r w:rsidR="00437385" w:rsidRPr="00502933">
        <w:rPr>
          <w:i/>
          <w:iCs/>
        </w:rPr>
        <w:t>character compliance</w:t>
      </w:r>
      <w:r w:rsidR="00DA6E22" w:rsidRPr="00502933">
        <w:rPr>
          <w:i/>
          <w:iCs/>
        </w:rPr>
        <w:t>’</w:t>
      </w:r>
      <w:r w:rsidR="00437385" w:rsidRPr="00502933">
        <w:rPr>
          <w:i/>
          <w:iCs/>
        </w:rPr>
        <w:t xml:space="preserve"> </w:t>
      </w:r>
      <w:r w:rsidR="00437385" w:rsidRPr="00672E6B">
        <w:t xml:space="preserve">set out in </w:t>
      </w:r>
      <w:r>
        <w:t xml:space="preserve">amended </w:t>
      </w:r>
      <w:r w:rsidR="00437385" w:rsidRPr="00672E6B">
        <w:t>clause 22.01-3</w:t>
      </w:r>
      <w:r w:rsidR="00E60D3B">
        <w:t xml:space="preserve">.  It </w:t>
      </w:r>
      <w:r w:rsidR="00C17D50">
        <w:t>says this part of the clause should also be balanced against</w:t>
      </w:r>
      <w:r w:rsidR="00437385" w:rsidRPr="00672E6B">
        <w:t xml:space="preserve"> the</w:t>
      </w:r>
      <w:r w:rsidR="00C17D50">
        <w:t xml:space="preserve"> application </w:t>
      </w:r>
      <w:r w:rsidR="00437385" w:rsidRPr="00672E6B">
        <w:t xml:space="preserve">of </w:t>
      </w:r>
      <w:r w:rsidR="00C17D50">
        <w:t xml:space="preserve">the </w:t>
      </w:r>
      <w:r w:rsidR="006B491B">
        <w:t>D</w:t>
      </w:r>
      <w:r w:rsidR="00437385" w:rsidRPr="00672E6B">
        <w:t xml:space="preserve">ecision </w:t>
      </w:r>
      <w:r w:rsidR="00404CB7">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7"/>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B491B">
        <w:t>G</w:t>
      </w:r>
      <w:r w:rsidR="00437385" w:rsidRPr="00672E6B">
        <w:t>uidelines at clause 22.01-5</w:t>
      </w:r>
      <w:r w:rsidR="00E60D3B">
        <w:t xml:space="preserve"> and policy guidance provided by Member Deidun in </w:t>
      </w:r>
      <w:r w:rsidR="00E60D3B">
        <w:rPr>
          <w:i/>
          <w:iCs/>
        </w:rPr>
        <w:t xml:space="preserve">Makhmalbaf v Monash CC </w:t>
      </w:r>
      <w:r w:rsidR="000F6160">
        <w:t xml:space="preserve">[2018] </w:t>
      </w:r>
      <w:r w:rsidR="00E60D3B">
        <w:t>(Red Dot) VCAT 1641.</w:t>
      </w:r>
    </w:p>
    <w:p w:rsidR="00374DBF" w:rsidRDefault="0050064F" w:rsidP="0095590D">
      <w:pPr>
        <w:pStyle w:val="Para1"/>
      </w:pPr>
      <w:r>
        <w:t>T</w:t>
      </w:r>
      <w:r w:rsidR="00374DBF">
        <w:t>he applicant s</w:t>
      </w:r>
      <w:r w:rsidR="0004673D">
        <w:t>ays</w:t>
      </w:r>
      <w:r w:rsidR="00374DBF">
        <w:t xml:space="preserve"> </w:t>
      </w:r>
      <w:r w:rsidR="0004673D">
        <w:t xml:space="preserve">amendment </w:t>
      </w:r>
      <w:r w:rsidR="00374DBF">
        <w:t>implication</w:t>
      </w:r>
      <w:r w:rsidR="00103894">
        <w:t>s</w:t>
      </w:r>
      <w:r w:rsidR="00374DBF">
        <w:t xml:space="preserve"> include:</w:t>
      </w:r>
    </w:p>
    <w:p w:rsidR="00103894" w:rsidRDefault="00103894" w:rsidP="00374DBF">
      <w:pPr>
        <w:pStyle w:val="Quote3"/>
      </w:pPr>
      <w:r>
        <w:t>The sites</w:t>
      </w:r>
      <w:r w:rsidR="004F267F">
        <w:t>’</w:t>
      </w:r>
      <w:r>
        <w:t xml:space="preserve"> strategic context as being appropriate for more higher density development has been reinforced by the changes made to clause 21.04;</w:t>
      </w:r>
    </w:p>
    <w:p w:rsidR="00103894" w:rsidRDefault="00103894" w:rsidP="00374DBF">
      <w:pPr>
        <w:pStyle w:val="Quote3"/>
      </w:pPr>
      <w:r>
        <w:t xml:space="preserve">Character guidance should continue to be drawn from the Monash Housing Strategy 2014, and policy specific to the Glen </w:t>
      </w:r>
      <w:r w:rsidR="00B63E45">
        <w:t>Waverley</w:t>
      </w:r>
      <w:r>
        <w:t xml:space="preserve"> Activity Centre at clause 22.14;</w:t>
      </w:r>
    </w:p>
    <w:p w:rsidR="00D44461" w:rsidRDefault="00103894" w:rsidP="00374DBF">
      <w:pPr>
        <w:pStyle w:val="Quote3"/>
      </w:pPr>
      <w:r>
        <w:t>Clause 22.01 has been further weakened by C125 Part 2 as it relates to the subject site (if it relates to it at all) and now no longer provides a preferred character outcome for the subject site.</w:t>
      </w:r>
      <w:r w:rsidR="00C17AB8">
        <w:t xml:space="preserve"> </w:t>
      </w:r>
    </w:p>
    <w:p w:rsidR="00BB75D3" w:rsidRDefault="00E818DB" w:rsidP="00FF1EAE">
      <w:pPr>
        <w:pStyle w:val="Para1"/>
      </w:pPr>
      <w:r>
        <w:t>I note</w:t>
      </w:r>
      <w:r w:rsidR="00BB75D3">
        <w:t xml:space="preserve"> the first Objective </w:t>
      </w:r>
      <w:r w:rsidR="00B22F68">
        <w:t xml:space="preserve">at </w:t>
      </w:r>
      <w:r w:rsidR="00BB75D3">
        <w:t>clause 21.04-3</w:t>
      </w:r>
      <w:r w:rsidR="0004673D">
        <w:t xml:space="preserve"> s</w:t>
      </w:r>
      <w:r>
        <w:t>eeks</w:t>
      </w:r>
      <w:r w:rsidR="00BB75D3">
        <w:t>:</w:t>
      </w:r>
    </w:p>
    <w:p w:rsidR="00B22F68" w:rsidRPr="00B22F68" w:rsidRDefault="00BB75D3" w:rsidP="00BB75D3">
      <w:pPr>
        <w:pStyle w:val="Quote3"/>
        <w:rPr>
          <w:lang w:eastAsia="en-AU"/>
        </w:rPr>
      </w:pPr>
      <w:r>
        <w:rPr>
          <w:lang w:eastAsia="en-AU"/>
        </w:rPr>
        <w:t xml:space="preserve">To locate residential growth within neighbourhood and activity centres, the Monash National </w:t>
      </w:r>
      <w:r w:rsidRPr="00BB75D3">
        <w:rPr>
          <w:rFonts w:ascii="TimesNewRomanPSMT" w:hAnsi="TimesNewRomanPSMT" w:cs="TimesNewRomanPSMT"/>
          <w:sz w:val="22"/>
          <w:szCs w:val="22"/>
          <w:lang w:eastAsia="en-AU"/>
        </w:rPr>
        <w:t>Employment Cluster and the boulevards (Springvale Road and Princes Highway) to increase</w:t>
      </w:r>
      <w:r>
        <w:rPr>
          <w:rFonts w:ascii="TimesNewRomanPSMT" w:hAnsi="TimesNewRomanPSMT" w:cs="TimesNewRomanPSMT"/>
          <w:sz w:val="22"/>
          <w:szCs w:val="22"/>
          <w:lang w:eastAsia="en-AU"/>
        </w:rPr>
        <w:t xml:space="preserve"> </w:t>
      </w:r>
      <w:r w:rsidRPr="00BB75D3">
        <w:rPr>
          <w:rFonts w:ascii="TimesNewRomanPSMT" w:hAnsi="TimesNewRomanPSMT" w:cs="TimesNewRomanPSMT"/>
          <w:sz w:val="22"/>
          <w:szCs w:val="22"/>
          <w:lang w:eastAsia="en-AU"/>
        </w:rPr>
        <w:t>proximity to employment, public transport, shops and services</w:t>
      </w:r>
      <w:r w:rsidR="00B22F68">
        <w:rPr>
          <w:rFonts w:ascii="TimesNewRomanPSMT" w:hAnsi="TimesNewRomanPSMT" w:cs="TimesNewRomanPSMT"/>
          <w:sz w:val="22"/>
          <w:szCs w:val="22"/>
          <w:lang w:eastAsia="en-AU"/>
        </w:rPr>
        <w:t>….</w:t>
      </w:r>
      <w:r w:rsidRPr="00BB75D3">
        <w:rPr>
          <w:rFonts w:ascii="TimesNewRomanPSMT" w:hAnsi="TimesNewRomanPSMT" w:cs="TimesNewRomanPSMT"/>
          <w:sz w:val="22"/>
          <w:szCs w:val="22"/>
          <w:lang w:eastAsia="en-AU"/>
        </w:rPr>
        <w:t xml:space="preserve"> </w:t>
      </w:r>
    </w:p>
    <w:p w:rsidR="00B22F68" w:rsidRPr="00B22F68" w:rsidRDefault="00B22F68" w:rsidP="005F3FCB">
      <w:pPr>
        <w:pStyle w:val="Para2"/>
        <w:rPr>
          <w:lang w:eastAsia="en-AU"/>
        </w:rPr>
      </w:pPr>
      <w:r>
        <w:rPr>
          <w:lang w:eastAsia="en-AU"/>
        </w:rPr>
        <w:t>However, this Objective</w:t>
      </w:r>
      <w:r w:rsidR="00EB7273">
        <w:rPr>
          <w:lang w:eastAsia="en-AU"/>
        </w:rPr>
        <w:t xml:space="preserve"> </w:t>
      </w:r>
      <w:r>
        <w:rPr>
          <w:lang w:eastAsia="en-AU"/>
        </w:rPr>
        <w:t xml:space="preserve">also </w:t>
      </w:r>
      <w:r w:rsidR="008F381E">
        <w:rPr>
          <w:lang w:eastAsia="en-AU"/>
        </w:rPr>
        <w:t xml:space="preserve">expresses </w:t>
      </w:r>
      <w:r>
        <w:rPr>
          <w:lang w:eastAsia="en-AU"/>
        </w:rPr>
        <w:t>the need to manage</w:t>
      </w:r>
      <w:r w:rsidR="005F3FCB">
        <w:rPr>
          <w:lang w:eastAsia="en-AU"/>
        </w:rPr>
        <w:t xml:space="preserve"> residential </w:t>
      </w:r>
      <w:r>
        <w:rPr>
          <w:lang w:eastAsia="en-AU"/>
        </w:rPr>
        <w:t>growth:</w:t>
      </w:r>
    </w:p>
    <w:p w:rsidR="00B22F68" w:rsidRDefault="00B22F68" w:rsidP="00B22F68">
      <w:pPr>
        <w:pStyle w:val="Quote3"/>
        <w:rPr>
          <w:lang w:eastAsia="en-AU"/>
        </w:rPr>
      </w:pPr>
      <w:r>
        <w:rPr>
          <w:rFonts w:ascii="TimesNewRomanPSMT" w:hAnsi="TimesNewRomanPSMT" w:cs="TimesNewRomanPSMT"/>
          <w:sz w:val="22"/>
          <w:szCs w:val="22"/>
          <w:lang w:eastAsia="en-AU"/>
        </w:rPr>
        <w:t xml:space="preserve">……. </w:t>
      </w:r>
      <w:r w:rsidR="00BB75D3" w:rsidRPr="00BB75D3">
        <w:rPr>
          <w:rFonts w:ascii="TimesNewRomanPSMT" w:hAnsi="TimesNewRomanPSMT" w:cs="TimesNewRomanPSMT"/>
          <w:sz w:val="22"/>
          <w:szCs w:val="22"/>
          <w:lang w:eastAsia="en-AU"/>
        </w:rPr>
        <w:t>to preserve and</w:t>
      </w:r>
      <w:r w:rsidR="00BB75D3">
        <w:rPr>
          <w:rFonts w:ascii="TimesNewRomanPSMT" w:hAnsi="TimesNewRomanPSMT" w:cs="TimesNewRomanPSMT"/>
          <w:sz w:val="22"/>
          <w:szCs w:val="22"/>
          <w:lang w:eastAsia="en-AU"/>
        </w:rPr>
        <w:t xml:space="preserve"> </w:t>
      </w:r>
      <w:r w:rsidR="00BB75D3" w:rsidRPr="00BB75D3">
        <w:rPr>
          <w:rFonts w:ascii="TimesNewRomanPSMT" w:hAnsi="TimesNewRomanPSMT" w:cs="TimesNewRomanPSMT"/>
          <w:sz w:val="22"/>
          <w:szCs w:val="22"/>
          <w:lang w:eastAsia="en-AU"/>
        </w:rPr>
        <w:t>enhance garden city character and special character in the balance of the municipality.</w:t>
      </w:r>
    </w:p>
    <w:p w:rsidR="00CD4FC1" w:rsidRDefault="004F267F" w:rsidP="00BC75EA">
      <w:pPr>
        <w:pStyle w:val="Para1"/>
      </w:pPr>
      <w:r>
        <w:t xml:space="preserve">I </w:t>
      </w:r>
      <w:r w:rsidR="004B77F9">
        <w:t>accept t</w:t>
      </w:r>
      <w:r>
        <w:t xml:space="preserve">he </w:t>
      </w:r>
      <w:r w:rsidR="00BC75EA">
        <w:t xml:space="preserve">applicant’s </w:t>
      </w:r>
      <w:r w:rsidR="008F381E">
        <w:t xml:space="preserve">second </w:t>
      </w:r>
      <w:r>
        <w:t xml:space="preserve">position that character guidance </w:t>
      </w:r>
      <w:r w:rsidR="00267F8E">
        <w:t>can</w:t>
      </w:r>
      <w:r>
        <w:t xml:space="preserve"> </w:t>
      </w:r>
      <w:r w:rsidR="005C183F">
        <w:t xml:space="preserve">and should </w:t>
      </w:r>
      <w:r>
        <w:t xml:space="preserve">continue to be drawn from </w:t>
      </w:r>
      <w:r w:rsidR="00BF1C79">
        <w:t xml:space="preserve">clause 22.14 (Glen </w:t>
      </w:r>
      <w:r w:rsidR="00B63E45">
        <w:t>Waverley</w:t>
      </w:r>
      <w:r w:rsidR="00BF1C79">
        <w:t xml:space="preserve"> Major Activity Centre Structure Plan) and</w:t>
      </w:r>
      <w:r w:rsidR="00CD4FC1">
        <w:t xml:space="preserve"> t</w:t>
      </w:r>
      <w:r w:rsidR="00BF1C79">
        <w:t xml:space="preserve">he </w:t>
      </w:r>
      <w:r w:rsidR="0004673D">
        <w:t xml:space="preserve">Housing </w:t>
      </w:r>
      <w:r w:rsidR="00BF1C79">
        <w:t>Strategy</w:t>
      </w:r>
      <w:r w:rsidR="00BC75EA">
        <w:t>.</w:t>
      </w:r>
      <w:r w:rsidR="00BF1C79">
        <w:t xml:space="preserve">  </w:t>
      </w:r>
      <w:r w:rsidR="004B77F9">
        <w:t>The review site remains within the GWMAC</w:t>
      </w:r>
      <w:r w:rsidR="00E818DB">
        <w:t>.  T</w:t>
      </w:r>
      <w:r w:rsidR="005C183F">
        <w:t>his clause</w:t>
      </w:r>
      <w:r w:rsidR="00E818DB">
        <w:t xml:space="preserve"> is therefore a relevant consideration and assessment tool</w:t>
      </w:r>
      <w:r w:rsidR="005C183F">
        <w:t>.  I</w:t>
      </w:r>
      <w:r w:rsidR="00E818DB">
        <w:t xml:space="preserve"> would also add </w:t>
      </w:r>
      <w:r w:rsidR="004B77F9">
        <w:t>local policy at clause 21.06</w:t>
      </w:r>
      <w:r w:rsidR="005C183F">
        <w:t xml:space="preserve"> (Major Activity and Neighbourhood Centres) </w:t>
      </w:r>
      <w:r w:rsidR="00E818DB">
        <w:t xml:space="preserve">as </w:t>
      </w:r>
      <w:r w:rsidR="005C183F">
        <w:t>a relevant consideration.</w:t>
      </w:r>
    </w:p>
    <w:p w:rsidR="00BC75EA" w:rsidRDefault="0004673D" w:rsidP="00BC75EA">
      <w:pPr>
        <w:pStyle w:val="Para1"/>
      </w:pPr>
      <w:r>
        <w:t>However</w:t>
      </w:r>
      <w:r w:rsidR="00E818DB">
        <w:t>,</w:t>
      </w:r>
      <w:r>
        <w:t xml:space="preserve"> </w:t>
      </w:r>
      <w:r w:rsidR="004F267F">
        <w:t xml:space="preserve">I do not accept the </w:t>
      </w:r>
      <w:r w:rsidR="00A67654">
        <w:t xml:space="preserve">applicant’s </w:t>
      </w:r>
      <w:r w:rsidR="005C183F">
        <w:t>third position</w:t>
      </w:r>
      <w:r w:rsidR="004F267F">
        <w:t xml:space="preserve"> that clause 22.01 has been ‘</w:t>
      </w:r>
      <w:r w:rsidR="004F267F" w:rsidRPr="00BC75EA">
        <w:rPr>
          <w:i/>
          <w:iCs/>
        </w:rPr>
        <w:t>further weakened’</w:t>
      </w:r>
      <w:r w:rsidR="004F267F">
        <w:t xml:space="preserve"> </w:t>
      </w:r>
      <w:r w:rsidR="00CF222C">
        <w:t xml:space="preserve">and </w:t>
      </w:r>
      <w:r w:rsidR="00554886">
        <w:t xml:space="preserve">is now superseded by </w:t>
      </w:r>
      <w:r w:rsidR="004F267F">
        <w:t xml:space="preserve">the amendment </w:t>
      </w:r>
      <w:r w:rsidR="004A113A">
        <w:t xml:space="preserve">as </w:t>
      </w:r>
      <w:r w:rsidR="004F267F">
        <w:t>it no</w:t>
      </w:r>
      <w:r w:rsidR="00DB36BC">
        <w:t xml:space="preserve"> </w:t>
      </w:r>
      <w:r w:rsidR="004F267F">
        <w:t xml:space="preserve">longer provides a </w:t>
      </w:r>
      <w:r w:rsidR="004A113A" w:rsidRPr="004A113A">
        <w:rPr>
          <w:i/>
          <w:iCs/>
        </w:rPr>
        <w:t>‘</w:t>
      </w:r>
      <w:r w:rsidR="004F267F" w:rsidRPr="004A113A">
        <w:rPr>
          <w:i/>
          <w:iCs/>
        </w:rPr>
        <w:t>preferred character outcome</w:t>
      </w:r>
      <w:r w:rsidR="004A113A" w:rsidRPr="004A113A">
        <w:rPr>
          <w:i/>
          <w:iCs/>
        </w:rPr>
        <w:t>’</w:t>
      </w:r>
      <w:r w:rsidR="004F267F">
        <w:t xml:space="preserve"> for the subject site.</w:t>
      </w:r>
      <w:r w:rsidR="005C183F">
        <w:t xml:space="preserve">  I do not </w:t>
      </w:r>
      <w:r w:rsidR="002B5253">
        <w:t>consider</w:t>
      </w:r>
      <w:r w:rsidR="002668F6">
        <w:t xml:space="preserve"> </w:t>
      </w:r>
      <w:r w:rsidR="005C183F">
        <w:t xml:space="preserve">the council has </w:t>
      </w:r>
      <w:r w:rsidR="00CF222C">
        <w:t xml:space="preserve">deliberately </w:t>
      </w:r>
      <w:r w:rsidR="005C183F">
        <w:t xml:space="preserve">chosen to highlight </w:t>
      </w:r>
      <w:r w:rsidR="002668F6">
        <w:t xml:space="preserve">only </w:t>
      </w:r>
      <w:r w:rsidR="005C183F">
        <w:t xml:space="preserve">the </w:t>
      </w:r>
      <w:r w:rsidR="005C183F">
        <w:rPr>
          <w:i/>
          <w:iCs/>
        </w:rPr>
        <w:t xml:space="preserve">‘most onerous’ </w:t>
      </w:r>
      <w:r w:rsidR="005C183F">
        <w:t>provisions in th</w:t>
      </w:r>
      <w:r w:rsidR="00CC3FB2">
        <w:t>is</w:t>
      </w:r>
      <w:r w:rsidR="005C183F">
        <w:t xml:space="preserve"> clause to support its position.  In my view</w:t>
      </w:r>
      <w:r w:rsidR="00E818DB">
        <w:t>,</w:t>
      </w:r>
      <w:r w:rsidR="005C183F">
        <w:t xml:space="preserve"> the council has simply </w:t>
      </w:r>
      <w:r w:rsidR="00E818DB">
        <w:t xml:space="preserve">sought to </w:t>
      </w:r>
      <w:r w:rsidR="005C183F">
        <w:t xml:space="preserve">state the relevant clause provisions that it says supports its </w:t>
      </w:r>
      <w:r w:rsidR="00E818DB">
        <w:t>submission</w:t>
      </w:r>
      <w:r w:rsidR="005C183F">
        <w:t>.</w:t>
      </w:r>
      <w:r w:rsidR="00CC3FB2">
        <w:t xml:space="preserve">  </w:t>
      </w:r>
      <w:r w:rsidR="00E818DB">
        <w:t xml:space="preserve">I find this </w:t>
      </w:r>
      <w:r w:rsidR="002B5253">
        <w:t xml:space="preserve">clause </w:t>
      </w:r>
      <w:r w:rsidR="00CF222C">
        <w:t xml:space="preserve">is </w:t>
      </w:r>
      <w:r w:rsidR="00712FD5">
        <w:t xml:space="preserve">a relevant consideration </w:t>
      </w:r>
      <w:r w:rsidR="00E818DB">
        <w:t xml:space="preserve">and </w:t>
      </w:r>
      <w:r w:rsidR="00712FD5">
        <w:t xml:space="preserve">assessment </w:t>
      </w:r>
      <w:r w:rsidR="00E818DB">
        <w:t>tool</w:t>
      </w:r>
      <w:r w:rsidR="002C611C">
        <w:t xml:space="preserve"> for this proposal</w:t>
      </w:r>
      <w:r w:rsidR="00CC3FB2">
        <w:t>.</w:t>
      </w:r>
      <w:r w:rsidR="004F267F">
        <w:t xml:space="preserve">  </w:t>
      </w:r>
    </w:p>
    <w:p w:rsidR="00894574" w:rsidRPr="007D5A6F" w:rsidRDefault="00DB36BC" w:rsidP="00CF222C">
      <w:pPr>
        <w:pStyle w:val="Para1"/>
      </w:pPr>
      <w:r w:rsidRPr="001A5A08">
        <w:t xml:space="preserve">I </w:t>
      </w:r>
      <w:r w:rsidR="00894574" w:rsidRPr="001A5A08">
        <w:t>a</w:t>
      </w:r>
      <w:r w:rsidR="001A5A08" w:rsidRPr="001A5A08">
        <w:t>c</w:t>
      </w:r>
      <w:r w:rsidR="004A113A">
        <w:t xml:space="preserve">knowledge </w:t>
      </w:r>
      <w:r w:rsidR="004F267F" w:rsidRPr="001A5A08">
        <w:t xml:space="preserve">a </w:t>
      </w:r>
      <w:r w:rsidR="002C611C">
        <w:t>specific ‘</w:t>
      </w:r>
      <w:r w:rsidR="004F267F" w:rsidRPr="001A5A08">
        <w:t>preferred character statement</w:t>
      </w:r>
      <w:r w:rsidR="002C611C">
        <w:t>’</w:t>
      </w:r>
      <w:r w:rsidR="004F267F" w:rsidRPr="001A5A08">
        <w:t xml:space="preserve"> </w:t>
      </w:r>
      <w:r w:rsidR="005C183F">
        <w:t xml:space="preserve">within the </w:t>
      </w:r>
      <w:r w:rsidR="002C611C">
        <w:t xml:space="preserve">amended </w:t>
      </w:r>
      <w:r w:rsidR="005C183F">
        <w:t xml:space="preserve">clause </w:t>
      </w:r>
      <w:r w:rsidR="004F267F" w:rsidRPr="001A5A08">
        <w:t xml:space="preserve">for the </w:t>
      </w:r>
      <w:r w:rsidR="00CC3FB2">
        <w:t xml:space="preserve">newly designated </w:t>
      </w:r>
      <w:r w:rsidR="004F267F" w:rsidRPr="001A5A08">
        <w:t xml:space="preserve">Monash Residual Residential Area would have been useful.  </w:t>
      </w:r>
      <w:r w:rsidR="002C611C">
        <w:t>T</w:t>
      </w:r>
      <w:r w:rsidR="002E1722" w:rsidRPr="001A5A08">
        <w:t xml:space="preserve">he council’s submission did not </w:t>
      </w:r>
      <w:r w:rsidR="001A5A08" w:rsidRPr="001A5A08">
        <w:t>shed</w:t>
      </w:r>
      <w:r w:rsidR="002E1722" w:rsidRPr="001A5A08">
        <w:t xml:space="preserve"> any further light on</w:t>
      </w:r>
      <w:r w:rsidR="002C611C">
        <w:t xml:space="preserve"> this matter</w:t>
      </w:r>
      <w:r w:rsidR="004A113A">
        <w:t>.</w:t>
      </w:r>
      <w:r w:rsidR="00CF222C">
        <w:t xml:space="preserve">  </w:t>
      </w:r>
      <w:r w:rsidR="004F267F" w:rsidRPr="007D5A6F">
        <w:t>Nevertheless</w:t>
      </w:r>
      <w:r w:rsidRPr="007D5A6F">
        <w:t>,</w:t>
      </w:r>
      <w:r w:rsidR="004F267F" w:rsidRPr="007D5A6F">
        <w:t xml:space="preserve"> </w:t>
      </w:r>
      <w:r w:rsidR="002E1722" w:rsidRPr="007D5A6F">
        <w:t xml:space="preserve">I consider </w:t>
      </w:r>
      <w:r w:rsidRPr="007D5A6F">
        <w:t xml:space="preserve">the amended provisions of </w:t>
      </w:r>
      <w:r w:rsidR="004F267F" w:rsidRPr="007D5A6F">
        <w:t>clause 22.01</w:t>
      </w:r>
      <w:r w:rsidR="00894574" w:rsidRPr="007D5A6F">
        <w:t xml:space="preserve">, including those matters </w:t>
      </w:r>
      <w:r w:rsidR="002B5253" w:rsidRPr="007D5A6F">
        <w:t>at 22.01-3</w:t>
      </w:r>
      <w:r w:rsidR="002B5253">
        <w:t xml:space="preserve"> as </w:t>
      </w:r>
      <w:r w:rsidR="00894574" w:rsidRPr="007D5A6F">
        <w:t xml:space="preserve">expressed </w:t>
      </w:r>
      <w:r w:rsidR="002B5253">
        <w:t>by the council</w:t>
      </w:r>
      <w:r w:rsidR="00894574" w:rsidRPr="007D5A6F">
        <w:t>,</w:t>
      </w:r>
      <w:r w:rsidR="004F267F" w:rsidRPr="007D5A6F">
        <w:t xml:space="preserve"> </w:t>
      </w:r>
      <w:r w:rsidR="00A67654" w:rsidRPr="007D5A6F">
        <w:t xml:space="preserve">are </w:t>
      </w:r>
      <w:r w:rsidR="004F267F" w:rsidRPr="007D5A6F">
        <w:t xml:space="preserve">relevant </w:t>
      </w:r>
      <w:r w:rsidR="00894574" w:rsidRPr="007D5A6F">
        <w:t xml:space="preserve">in </w:t>
      </w:r>
      <w:r w:rsidR="004F267F" w:rsidRPr="007D5A6F">
        <w:t>my assessment</w:t>
      </w:r>
      <w:r w:rsidRPr="007D5A6F">
        <w:t xml:space="preserve"> of this proposal.  I say this on </w:t>
      </w:r>
      <w:r w:rsidR="00404CB7">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8"/>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7D5A6F">
        <w:t xml:space="preserve">the basis </w:t>
      </w:r>
      <w:r w:rsidR="001A5A08" w:rsidRPr="007D5A6F">
        <w:t xml:space="preserve">the review site is residentially zoned (GRZ7) and </w:t>
      </w:r>
      <w:r w:rsidRPr="007D5A6F">
        <w:t xml:space="preserve">this clause </w:t>
      </w:r>
      <w:r w:rsidRPr="00CF222C">
        <w:rPr>
          <w:i/>
          <w:iCs/>
        </w:rPr>
        <w:t xml:space="preserve">‘applies to all residential land’ </w:t>
      </w:r>
      <w:r w:rsidRPr="007D5A6F">
        <w:t>within the Monash municipality.</w:t>
      </w:r>
    </w:p>
    <w:p w:rsidR="00B5690C" w:rsidRPr="007D5A6F" w:rsidRDefault="00502933" w:rsidP="00894574">
      <w:pPr>
        <w:pStyle w:val="Para1"/>
      </w:pPr>
      <w:r w:rsidRPr="007D5A6F">
        <w:t>I</w:t>
      </w:r>
      <w:r w:rsidR="00267F8E" w:rsidRPr="007D5A6F">
        <w:t xml:space="preserve">n </w:t>
      </w:r>
      <w:r w:rsidR="004A113A" w:rsidRPr="007D5A6F">
        <w:t>the same manner</w:t>
      </w:r>
      <w:r w:rsidR="00267F8E" w:rsidRPr="007D5A6F">
        <w:t xml:space="preserve">, </w:t>
      </w:r>
      <w:r w:rsidR="004A113A" w:rsidRPr="007D5A6F">
        <w:t xml:space="preserve">I consider </w:t>
      </w:r>
      <w:r w:rsidR="00267F8E" w:rsidRPr="007D5A6F">
        <w:t>c</w:t>
      </w:r>
      <w:r w:rsidR="00DB36BC" w:rsidRPr="007D5A6F">
        <w:t>lauses 21.04</w:t>
      </w:r>
      <w:r w:rsidRPr="007D5A6F">
        <w:t xml:space="preserve"> (as amended)</w:t>
      </w:r>
      <w:r w:rsidR="00DB36BC" w:rsidRPr="007D5A6F">
        <w:t xml:space="preserve">, </w:t>
      </w:r>
      <w:r w:rsidR="002E1722" w:rsidRPr="007D5A6F">
        <w:t xml:space="preserve">21.06, </w:t>
      </w:r>
      <w:r w:rsidR="00DB36BC" w:rsidRPr="007D5A6F">
        <w:t xml:space="preserve">22.14, the Monash Housing Strategy (2014) and the Schedule </w:t>
      </w:r>
      <w:r w:rsidR="002C611C">
        <w:t>provisions and Decision Guidelines</w:t>
      </w:r>
      <w:r w:rsidR="00DB36BC" w:rsidRPr="007D5A6F">
        <w:t xml:space="preserve"> of GRZ7</w:t>
      </w:r>
      <w:r w:rsidR="002E1722" w:rsidRPr="007D5A6F">
        <w:t xml:space="preserve"> are </w:t>
      </w:r>
      <w:r w:rsidR="00BC75EA" w:rsidRPr="007D5A6F">
        <w:t xml:space="preserve">all relevant matters </w:t>
      </w:r>
      <w:r w:rsidR="002E1722" w:rsidRPr="007D5A6F">
        <w:t xml:space="preserve">in </w:t>
      </w:r>
      <w:r w:rsidR="00BC75EA" w:rsidRPr="007D5A6F">
        <w:t xml:space="preserve">my </w:t>
      </w:r>
      <w:r w:rsidR="002E1722" w:rsidRPr="007D5A6F">
        <w:t>assessment</w:t>
      </w:r>
      <w:r w:rsidR="00894574" w:rsidRPr="007D5A6F">
        <w:t xml:space="preserve"> </w:t>
      </w:r>
      <w:r w:rsidR="00267F8E" w:rsidRPr="007D5A6F">
        <w:t>of this proposal</w:t>
      </w:r>
      <w:r w:rsidR="00DB36BC" w:rsidRPr="007D5A6F">
        <w:t>.</w:t>
      </w:r>
      <w:r w:rsidRPr="007D5A6F">
        <w:t xml:space="preserve">  </w:t>
      </w:r>
      <w:r w:rsidR="00BC75EA" w:rsidRPr="007D5A6F">
        <w:t xml:space="preserve">I </w:t>
      </w:r>
      <w:r w:rsidR="002C611C">
        <w:t>find</w:t>
      </w:r>
      <w:r w:rsidR="00BC75EA" w:rsidRPr="007D5A6F">
        <w:t xml:space="preserve"> there is sufficient guidance in these local policies and </w:t>
      </w:r>
      <w:r w:rsidR="002C611C">
        <w:t xml:space="preserve">the </w:t>
      </w:r>
      <w:r w:rsidR="00BC75EA" w:rsidRPr="007D5A6F">
        <w:t xml:space="preserve">zone provisions </w:t>
      </w:r>
      <w:r w:rsidR="002C611C">
        <w:t xml:space="preserve">to </w:t>
      </w:r>
      <w:r w:rsidR="00BC75EA" w:rsidRPr="007D5A6F">
        <w:t>enable me to assess the proposal against preferred character outcomes</w:t>
      </w:r>
      <w:r w:rsidR="0055484C">
        <w:t xml:space="preserve">, urban design </w:t>
      </w:r>
      <w:r w:rsidR="00267F8E" w:rsidRPr="007D5A6F">
        <w:t>and amenity impacts</w:t>
      </w:r>
      <w:r w:rsidR="00A2032C" w:rsidRPr="007D5A6F">
        <w:t>.</w:t>
      </w:r>
    </w:p>
    <w:p w:rsidR="009A49D7" w:rsidRPr="007744DE" w:rsidRDefault="009A49D7" w:rsidP="009A49D7">
      <w:pPr>
        <w:pStyle w:val="Heading2"/>
      </w:pPr>
      <w:r w:rsidRPr="007744DE">
        <w:t>What are the key issues?</w:t>
      </w:r>
    </w:p>
    <w:p w:rsidR="009A49D7" w:rsidRPr="007744DE" w:rsidRDefault="009A49D7" w:rsidP="009A49D7">
      <w:pPr>
        <w:pStyle w:val="Para1"/>
      </w:pPr>
      <w:r w:rsidRPr="007744DE">
        <w:t xml:space="preserve">I consider the key issues within this review are focused on </w:t>
      </w:r>
      <w:r w:rsidR="002C611C">
        <w:t xml:space="preserve">strategic </w:t>
      </w:r>
      <w:r w:rsidRPr="007744DE">
        <w:t xml:space="preserve">planning policy, neighbourhood character and amenity. </w:t>
      </w:r>
    </w:p>
    <w:p w:rsidR="009A49D7" w:rsidRPr="007744DE" w:rsidRDefault="006B491B" w:rsidP="009A49D7">
      <w:pPr>
        <w:pStyle w:val="Para1"/>
      </w:pPr>
      <w:r>
        <w:t>T</w:t>
      </w:r>
      <w:r w:rsidR="009A49D7" w:rsidRPr="007744DE">
        <w:t xml:space="preserve">he key issues </w:t>
      </w:r>
      <w:r>
        <w:t>can be expressed as</w:t>
      </w:r>
      <w:r w:rsidR="009A49D7" w:rsidRPr="007744DE">
        <w:t>:</w:t>
      </w:r>
    </w:p>
    <w:p w:rsidR="009A49D7" w:rsidRPr="007744DE" w:rsidRDefault="009A49D7" w:rsidP="009A49D7">
      <w:pPr>
        <w:pStyle w:val="Para5"/>
        <w:rPr>
          <w:lang w:val="en-US"/>
        </w:rPr>
      </w:pPr>
      <w:r w:rsidRPr="007744DE">
        <w:rPr>
          <w:lang w:val="en-US"/>
        </w:rPr>
        <w:t xml:space="preserve">Is the proposal acceptable in its </w:t>
      </w:r>
      <w:r w:rsidR="00FA19D8">
        <w:rPr>
          <w:lang w:val="en-US"/>
        </w:rPr>
        <w:t>strategic</w:t>
      </w:r>
      <w:r w:rsidRPr="007744DE">
        <w:rPr>
          <w:lang w:val="en-US"/>
        </w:rPr>
        <w:t xml:space="preserve"> </w:t>
      </w:r>
      <w:r w:rsidR="00DE78B1">
        <w:rPr>
          <w:lang w:val="en-US"/>
        </w:rPr>
        <w:t xml:space="preserve">and physical </w:t>
      </w:r>
      <w:r w:rsidRPr="007744DE">
        <w:rPr>
          <w:lang w:val="en-US"/>
        </w:rPr>
        <w:t>context?</w:t>
      </w:r>
    </w:p>
    <w:p w:rsidR="009A49D7" w:rsidRPr="007744DE" w:rsidRDefault="009A49D7" w:rsidP="009A49D7">
      <w:pPr>
        <w:pStyle w:val="Para5"/>
        <w:rPr>
          <w:lang w:val="en-US"/>
        </w:rPr>
      </w:pPr>
      <w:r w:rsidRPr="007744DE">
        <w:rPr>
          <w:lang w:val="en-US"/>
        </w:rPr>
        <w:t>Is the proposal respectful of neighbourhood character?</w:t>
      </w:r>
    </w:p>
    <w:p w:rsidR="009A49D7" w:rsidRPr="00672E6B" w:rsidRDefault="009A49D7" w:rsidP="009A49D7">
      <w:pPr>
        <w:pStyle w:val="Para5"/>
        <w:rPr>
          <w:bCs/>
          <w:iCs/>
          <w:lang w:val="en-US"/>
        </w:rPr>
      </w:pPr>
      <w:bookmarkStart w:id="1" w:name="_Hlk24021102"/>
      <w:r w:rsidRPr="00672E6B">
        <w:rPr>
          <w:bCs/>
          <w:iCs/>
          <w:lang w:val="en-US"/>
        </w:rPr>
        <w:t>Will the proposal result in reasonable amenity impacts?</w:t>
      </w:r>
    </w:p>
    <w:bookmarkEnd w:id="1"/>
    <w:p w:rsidR="00FA19D8" w:rsidRPr="00FA19D8" w:rsidRDefault="00A2032C" w:rsidP="00FA19D8">
      <w:pPr>
        <w:pStyle w:val="Para1"/>
      </w:pPr>
      <w:r>
        <w:t xml:space="preserve">As I have outlined above, </w:t>
      </w:r>
      <w:r w:rsidR="00FA19D8" w:rsidRPr="007744DE">
        <w:t xml:space="preserve">I must decide whether the proposal will produce an acceptable and reasonable planning outcome, having regard to the relevant Scheme policies, objectives and provisions that </w:t>
      </w:r>
      <w:r>
        <w:t xml:space="preserve">now </w:t>
      </w:r>
      <w:r w:rsidR="00FA19D8" w:rsidRPr="007744DE">
        <w:t>apply</w:t>
      </w:r>
      <w:r>
        <w:t xml:space="preserve"> to the site and surrounds</w:t>
      </w:r>
      <w:r w:rsidR="00FA19D8" w:rsidRPr="007744DE">
        <w:t>.</w:t>
      </w:r>
    </w:p>
    <w:p w:rsidR="0071038E" w:rsidRPr="001E6329" w:rsidRDefault="0047068C" w:rsidP="0071038E">
      <w:pPr>
        <w:pStyle w:val="Para1"/>
      </w:pPr>
      <w:r>
        <w:t xml:space="preserve">Strategic policy objectives and strategies seek to ensure new development contributes to the </w:t>
      </w:r>
      <w:r w:rsidRPr="0047068C">
        <w:t>‘buildings-in-landscape’</w:t>
      </w:r>
      <w:r>
        <w:t xml:space="preserve"> and ‘garden city character’ associated with the residential zoned areas surrounding the GWMAC.  </w:t>
      </w:r>
      <w:r w:rsidR="009A49D7" w:rsidRPr="00672E6B">
        <w:t xml:space="preserve">I find the </w:t>
      </w:r>
      <w:r w:rsidR="006C2106">
        <w:t xml:space="preserve">design response </w:t>
      </w:r>
      <w:r w:rsidR="00F92755">
        <w:t xml:space="preserve">has </w:t>
      </w:r>
      <w:r w:rsidR="009A49D7" w:rsidRPr="00672E6B">
        <w:t xml:space="preserve">not </w:t>
      </w:r>
      <w:r w:rsidR="00672E6B" w:rsidRPr="00672E6B">
        <w:t>achieve</w:t>
      </w:r>
      <w:r w:rsidR="00F92755">
        <w:t>d</w:t>
      </w:r>
      <w:r w:rsidR="009A49D7" w:rsidRPr="00672E6B">
        <w:t xml:space="preserve"> </w:t>
      </w:r>
      <w:r w:rsidR="00DF27CA">
        <w:t xml:space="preserve">key </w:t>
      </w:r>
      <w:r w:rsidR="00167A20" w:rsidRPr="00672E6B">
        <w:t>built form</w:t>
      </w:r>
      <w:r w:rsidR="002C611C">
        <w:t xml:space="preserve"> and landscaping</w:t>
      </w:r>
      <w:r w:rsidR="005F402B">
        <w:t xml:space="preserve"> outcome</w:t>
      </w:r>
      <w:r w:rsidR="00DF27CA">
        <w:t>s</w:t>
      </w:r>
      <w:r w:rsidR="005F402B">
        <w:t xml:space="preserve"> </w:t>
      </w:r>
      <w:r w:rsidR="002C611C">
        <w:t>sought</w:t>
      </w:r>
      <w:r w:rsidR="005F402B">
        <w:t xml:space="preserve"> under zoning and local</w:t>
      </w:r>
      <w:r w:rsidR="00167A20" w:rsidRPr="00672E6B">
        <w:t xml:space="preserve"> </w:t>
      </w:r>
      <w:r w:rsidR="005F402B">
        <w:t>policy</w:t>
      </w:r>
      <w:r w:rsidR="002C611C">
        <w:t>.  More particularly, t</w:t>
      </w:r>
      <w:r w:rsidR="001D0F5A">
        <w:t>he use of cantilever form at upper levels of the proposal</w:t>
      </w:r>
      <w:r w:rsidR="0055484C">
        <w:t xml:space="preserve"> and ‘on-boundary’ master bedrooms to each dwelling at ground level,</w:t>
      </w:r>
      <w:r w:rsidR="001D0F5A">
        <w:t xml:space="preserve"> </w:t>
      </w:r>
      <w:r w:rsidR="002C611C">
        <w:t xml:space="preserve">has resulted in </w:t>
      </w:r>
      <w:r w:rsidR="001D0F5A">
        <w:t xml:space="preserve">excessive </w:t>
      </w:r>
      <w:r w:rsidR="002C611C">
        <w:t xml:space="preserve">built form alongside boundaries </w:t>
      </w:r>
      <w:r w:rsidR="001D0F5A">
        <w:t>and ha</w:t>
      </w:r>
      <w:r w:rsidR="002C611C">
        <w:t>s</w:t>
      </w:r>
      <w:r w:rsidR="001D0F5A">
        <w:t xml:space="preserve"> reduced the opportunity for this </w:t>
      </w:r>
      <w:r w:rsidR="0055484C">
        <w:t xml:space="preserve">overall </w:t>
      </w:r>
      <w:r w:rsidR="001D0F5A">
        <w:t>building</w:t>
      </w:r>
      <w:r w:rsidR="0055484C">
        <w:t xml:space="preserve"> envelope</w:t>
      </w:r>
      <w:r w:rsidR="001D0F5A">
        <w:t xml:space="preserve"> to sit within a landscape and garden setting sought under policy.</w:t>
      </w:r>
      <w:r w:rsidR="00DF27CA">
        <w:t xml:space="preserve">  </w:t>
      </w:r>
    </w:p>
    <w:p w:rsidR="007149C1" w:rsidRPr="0047068C" w:rsidRDefault="009A49D7" w:rsidP="00BB57C0">
      <w:pPr>
        <w:pStyle w:val="Para1"/>
      </w:pPr>
      <w:r w:rsidRPr="0047068C">
        <w:t xml:space="preserve">I </w:t>
      </w:r>
      <w:r w:rsidR="007045DB" w:rsidRPr="0047068C">
        <w:t>consider th</w:t>
      </w:r>
      <w:r w:rsidR="006B505C" w:rsidRPr="0047068C">
        <w:t xml:space="preserve">ese are </w:t>
      </w:r>
      <w:r w:rsidR="007045DB" w:rsidRPr="0047068C">
        <w:t>determinative matter</w:t>
      </w:r>
      <w:r w:rsidR="006B505C" w:rsidRPr="0047068C">
        <w:t>s that require redesign</w:t>
      </w:r>
      <w:r w:rsidR="007045DB" w:rsidRPr="0047068C">
        <w:t xml:space="preserve"> and</w:t>
      </w:r>
      <w:r w:rsidR="00B76C39" w:rsidRPr="0047068C">
        <w:t xml:space="preserve"> </w:t>
      </w:r>
      <w:r w:rsidRPr="0047068C">
        <w:t>affirm the Council’s decision and direct that no permit is granted</w:t>
      </w:r>
      <w:r w:rsidRPr="0047068C">
        <w:rPr>
          <w:lang w:val="en-US"/>
        </w:rPr>
        <w:t>.</w:t>
      </w:r>
    </w:p>
    <w:p w:rsidR="009A49D7" w:rsidRPr="00F72E28" w:rsidRDefault="009A49D7" w:rsidP="009A49D7">
      <w:pPr>
        <w:pStyle w:val="Heading2"/>
        <w:rPr>
          <w:lang w:val="en-US"/>
        </w:rPr>
      </w:pPr>
      <w:r w:rsidRPr="00F72E28">
        <w:rPr>
          <w:lang w:val="en-US"/>
        </w:rPr>
        <w:t xml:space="preserve">Is the proposal acceptable in its </w:t>
      </w:r>
      <w:r w:rsidR="00FA19D8" w:rsidRPr="00F72E28">
        <w:rPr>
          <w:lang w:val="en-US"/>
        </w:rPr>
        <w:t>strategic</w:t>
      </w:r>
      <w:r w:rsidR="00DE78B1">
        <w:rPr>
          <w:lang w:val="en-US"/>
        </w:rPr>
        <w:t xml:space="preserve"> and physical</w:t>
      </w:r>
      <w:r w:rsidR="00FA19D8" w:rsidRPr="00F72E28">
        <w:rPr>
          <w:lang w:val="en-US"/>
        </w:rPr>
        <w:t xml:space="preserve"> </w:t>
      </w:r>
      <w:r w:rsidR="00FA19D8">
        <w:rPr>
          <w:lang w:val="en-US"/>
        </w:rPr>
        <w:t>context</w:t>
      </w:r>
      <w:r w:rsidRPr="00F72E28">
        <w:rPr>
          <w:lang w:val="en-US"/>
        </w:rPr>
        <w:t>?</w:t>
      </w:r>
    </w:p>
    <w:p w:rsidR="006B505C" w:rsidRPr="006B505C" w:rsidRDefault="006B505C" w:rsidP="006B505C">
      <w:pPr>
        <w:pStyle w:val="Heading3"/>
        <w:rPr>
          <w:lang w:val="en-US"/>
        </w:rPr>
      </w:pPr>
      <w:r>
        <w:rPr>
          <w:lang w:val="en-US"/>
        </w:rPr>
        <w:t>Physical Setting</w:t>
      </w:r>
    </w:p>
    <w:p w:rsidR="007D5A6F" w:rsidRPr="007D5A6F" w:rsidRDefault="00267F8E" w:rsidP="007D5A6F">
      <w:pPr>
        <w:pStyle w:val="Para1"/>
        <w:rPr>
          <w:lang w:val="en-US"/>
        </w:rPr>
      </w:pPr>
      <w:r>
        <w:t>T</w:t>
      </w:r>
      <w:r w:rsidR="00FA19D8">
        <w:t xml:space="preserve">he review site is well located to existing services, community facilities, major activity centre and public transport.  This physical setting supports </w:t>
      </w:r>
      <w:r w:rsidR="006B505C">
        <w:t xml:space="preserve">the opportunity for an </w:t>
      </w:r>
      <w:r w:rsidR="00FA19D8">
        <w:t>increase in residential development on the review site</w:t>
      </w:r>
      <w:r w:rsidR="00FA19D8" w:rsidRPr="007045DB">
        <w:t xml:space="preserve">.  </w:t>
      </w:r>
      <w:r w:rsidR="0047068C">
        <w:t>T</w:t>
      </w:r>
      <w:r w:rsidR="00FA19D8" w:rsidRPr="007045DB">
        <w:t xml:space="preserve">he GRZ7 purposes encourage </w:t>
      </w:r>
      <w:r w:rsidR="00FA19D8" w:rsidRPr="007045DB">
        <w:rPr>
          <w:lang w:eastAsia="en-AU"/>
        </w:rPr>
        <w:t>housing growth</w:t>
      </w:r>
      <w:r w:rsidR="00DE78B1">
        <w:rPr>
          <w:lang w:eastAsia="en-AU"/>
        </w:rPr>
        <w:t xml:space="preserve"> and diversity</w:t>
      </w:r>
      <w:r w:rsidR="00FA19D8" w:rsidRPr="007045DB">
        <w:rPr>
          <w:lang w:eastAsia="en-AU"/>
        </w:rPr>
        <w:t xml:space="preserve"> in locations</w:t>
      </w:r>
      <w:r w:rsidR="00DE78B1">
        <w:rPr>
          <w:lang w:eastAsia="en-AU"/>
        </w:rPr>
        <w:t xml:space="preserve"> </w:t>
      </w:r>
      <w:r w:rsidR="00FA19D8">
        <w:rPr>
          <w:lang w:eastAsia="en-AU"/>
        </w:rPr>
        <w:t xml:space="preserve">on the periphery of </w:t>
      </w:r>
      <w:r>
        <w:rPr>
          <w:lang w:eastAsia="en-AU"/>
        </w:rPr>
        <w:t>a major activity centre such as</w:t>
      </w:r>
      <w:r w:rsidR="00FA19D8">
        <w:rPr>
          <w:lang w:eastAsia="en-AU"/>
        </w:rPr>
        <w:t xml:space="preserve"> </w:t>
      </w:r>
      <w:r w:rsidR="00FA19D8" w:rsidRPr="00672E6B">
        <w:t>GWMAC</w:t>
      </w:r>
      <w:r w:rsidR="006B505C">
        <w:t>.</w:t>
      </w:r>
      <w:r w:rsidR="00FA19D8" w:rsidRPr="007045DB">
        <w:t xml:space="preserve">  </w:t>
      </w:r>
    </w:p>
    <w:p w:rsidR="00FA19D8" w:rsidRPr="007D5A6F" w:rsidRDefault="00404CB7" w:rsidP="007D5A6F">
      <w:pPr>
        <w:pStyle w:val="Para1"/>
        <w:rPr>
          <w:lang w:val="en-US"/>
        </w:rPr>
      </w:pPr>
      <w:r>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9"/>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D5A6F">
        <w:t xml:space="preserve">I find the review site is a suitable candidate for medium density housing.  </w:t>
      </w:r>
      <w:r w:rsidR="0047068C">
        <w:t>I note the opportunity to</w:t>
      </w:r>
      <w:r w:rsidR="007D5A6F">
        <w:t xml:space="preserve"> </w:t>
      </w:r>
      <w:r w:rsidR="0047068C">
        <w:t xml:space="preserve">increase </w:t>
      </w:r>
      <w:r w:rsidR="007D5A6F">
        <w:t xml:space="preserve">residential density on the site is not a matter in dispute between the parties.  The crux of this dispute </w:t>
      </w:r>
      <w:r w:rsidR="0055484C">
        <w:t xml:space="preserve">therefore </w:t>
      </w:r>
      <w:r w:rsidR="007D5A6F">
        <w:t>centres on whether the design response has produced an acceptable development outcome on the site in terms of character</w:t>
      </w:r>
      <w:r w:rsidR="0047068C">
        <w:t xml:space="preserve">, </w:t>
      </w:r>
      <w:r w:rsidR="007D5A6F">
        <w:t>urban design</w:t>
      </w:r>
      <w:r w:rsidR="0047068C">
        <w:t xml:space="preserve"> and amenity</w:t>
      </w:r>
      <w:r w:rsidR="007D5A6F">
        <w:t>.</w:t>
      </w:r>
    </w:p>
    <w:p w:rsidR="00FA19D8" w:rsidRPr="00F72E28" w:rsidRDefault="00FA19D8" w:rsidP="00FA19D8">
      <w:pPr>
        <w:pStyle w:val="Heading3"/>
      </w:pPr>
      <w:r w:rsidRPr="00F72E28">
        <w:t>Zoning</w:t>
      </w:r>
      <w:r w:rsidR="006B505C">
        <w:t xml:space="preserve"> and Schedule Variations</w:t>
      </w:r>
    </w:p>
    <w:p w:rsidR="007D5A6F" w:rsidRDefault="009B45B7" w:rsidP="00E448D5">
      <w:pPr>
        <w:pStyle w:val="Para1"/>
        <w:rPr>
          <w:lang w:val="en-US"/>
        </w:rPr>
      </w:pPr>
      <w:r w:rsidRPr="00F72E28">
        <w:rPr>
          <w:lang w:val="en-US"/>
        </w:rPr>
        <w:t>Relevant z</w:t>
      </w:r>
      <w:r w:rsidR="009A49D7" w:rsidRPr="00F72E28">
        <w:rPr>
          <w:lang w:val="en-US"/>
        </w:rPr>
        <w:t>one purposes within the GRZ</w:t>
      </w:r>
      <w:r w:rsidR="00B76C39" w:rsidRPr="00F72E28">
        <w:rPr>
          <w:lang w:val="en-US"/>
        </w:rPr>
        <w:t>7</w:t>
      </w:r>
      <w:r w:rsidR="009A49D7" w:rsidRPr="00F72E28">
        <w:rPr>
          <w:lang w:val="en-US"/>
        </w:rPr>
        <w:t xml:space="preserve"> </w:t>
      </w:r>
      <w:r w:rsidR="00E448D5" w:rsidRPr="00F72E28">
        <w:rPr>
          <w:lang w:eastAsia="en-AU"/>
        </w:rPr>
        <w:t xml:space="preserve">encourages a diversity of housing types and housing growth in locations offering </w:t>
      </w:r>
      <w:r w:rsidR="009A49D7" w:rsidRPr="00F72E28">
        <w:rPr>
          <w:lang w:val="en-US"/>
        </w:rPr>
        <w:t>good access to services and transport</w:t>
      </w:r>
      <w:r w:rsidR="0047068C">
        <w:rPr>
          <w:lang w:val="en-US"/>
        </w:rPr>
        <w:t>.  In addition, the zone purposes require new development</w:t>
      </w:r>
      <w:r w:rsidR="00E448D5" w:rsidRPr="00F72E28">
        <w:rPr>
          <w:lang w:val="en-US"/>
        </w:rPr>
        <w:t xml:space="preserve"> </w:t>
      </w:r>
      <w:r w:rsidR="0047068C">
        <w:rPr>
          <w:lang w:val="en-US"/>
        </w:rPr>
        <w:t xml:space="preserve">to </w:t>
      </w:r>
      <w:r w:rsidR="004E4F98" w:rsidRPr="00F72E28">
        <w:rPr>
          <w:lang w:eastAsia="en-AU"/>
        </w:rPr>
        <w:t>respect the character of the area.</w:t>
      </w:r>
      <w:r w:rsidR="007D5A6F">
        <w:rPr>
          <w:lang w:eastAsia="en-AU"/>
        </w:rPr>
        <w:t xml:space="preserve">  I find the zone provisions enable and support an application for increased </w:t>
      </w:r>
      <w:r w:rsidR="0047068C">
        <w:rPr>
          <w:lang w:eastAsia="en-AU"/>
        </w:rPr>
        <w:t xml:space="preserve">residential </w:t>
      </w:r>
      <w:r w:rsidR="007D5A6F">
        <w:rPr>
          <w:lang w:eastAsia="en-AU"/>
        </w:rPr>
        <w:t>density on the site.</w:t>
      </w:r>
      <w:r w:rsidR="00E448D5" w:rsidRPr="00F72E28">
        <w:rPr>
          <w:lang w:val="en-US"/>
        </w:rPr>
        <w:t xml:space="preserve">  </w:t>
      </w:r>
    </w:p>
    <w:p w:rsidR="009B45B7" w:rsidRPr="00F72E28" w:rsidRDefault="009A49D7" w:rsidP="00E448D5">
      <w:pPr>
        <w:pStyle w:val="Para1"/>
        <w:rPr>
          <w:lang w:val="en-US"/>
        </w:rPr>
      </w:pPr>
      <w:r w:rsidRPr="00F72E28">
        <w:rPr>
          <w:lang w:val="en-US"/>
        </w:rPr>
        <w:t xml:space="preserve">Schedule </w:t>
      </w:r>
      <w:r w:rsidR="009B45B7" w:rsidRPr="00F72E28">
        <w:rPr>
          <w:lang w:val="en-US"/>
        </w:rPr>
        <w:t>7</w:t>
      </w:r>
      <w:r w:rsidRPr="00F72E28">
        <w:rPr>
          <w:lang w:val="en-US"/>
        </w:rPr>
        <w:t xml:space="preserve"> to the GRZ</w:t>
      </w:r>
      <w:r w:rsidR="009B45B7" w:rsidRPr="00F72E28">
        <w:rPr>
          <w:lang w:val="en-US"/>
        </w:rPr>
        <w:t>7</w:t>
      </w:r>
      <w:r w:rsidRPr="00F72E28">
        <w:rPr>
          <w:lang w:val="en-US"/>
        </w:rPr>
        <w:t xml:space="preserve"> var</w:t>
      </w:r>
      <w:r w:rsidR="009B45B7" w:rsidRPr="00F72E28">
        <w:rPr>
          <w:lang w:val="en-US"/>
        </w:rPr>
        <w:t xml:space="preserve">ies the following </w:t>
      </w:r>
      <w:r w:rsidRPr="00F72E28">
        <w:rPr>
          <w:lang w:val="en-US"/>
        </w:rPr>
        <w:t>clause 55 provisions</w:t>
      </w:r>
      <w:r w:rsidR="009B45B7" w:rsidRPr="00F72E28">
        <w:rPr>
          <w:lang w:val="en-US"/>
        </w:rPr>
        <w:t>:</w:t>
      </w:r>
    </w:p>
    <w:p w:rsidR="00E73A56" w:rsidRPr="00F72E28" w:rsidRDefault="00E73A56" w:rsidP="009B45B7">
      <w:pPr>
        <w:pStyle w:val="Para5"/>
        <w:rPr>
          <w:lang w:val="en-US"/>
        </w:rPr>
      </w:pPr>
      <w:r w:rsidRPr="00F72E28">
        <w:rPr>
          <w:lang w:val="en-US"/>
        </w:rPr>
        <w:t xml:space="preserve">Front setback – </w:t>
      </w:r>
      <w:r w:rsidR="004E4F98" w:rsidRPr="00F72E28">
        <w:rPr>
          <w:lang w:val="en-US"/>
        </w:rPr>
        <w:t xml:space="preserve">reduced to </w:t>
      </w:r>
      <w:r w:rsidRPr="00F72E28">
        <w:rPr>
          <w:lang w:val="en-US"/>
        </w:rPr>
        <w:t>5.0m</w:t>
      </w:r>
    </w:p>
    <w:p w:rsidR="00E73A56" w:rsidRPr="00F72E28" w:rsidRDefault="00E73A56" w:rsidP="009B45B7">
      <w:pPr>
        <w:pStyle w:val="Para5"/>
        <w:rPr>
          <w:lang w:val="en-US"/>
        </w:rPr>
      </w:pPr>
      <w:r w:rsidRPr="00F72E28">
        <w:rPr>
          <w:lang w:val="en-US"/>
        </w:rPr>
        <w:t>Front fence height not to exceed 1.2m</w:t>
      </w:r>
    </w:p>
    <w:p w:rsidR="009B45B7" w:rsidRPr="00F72E28" w:rsidRDefault="00E73A56" w:rsidP="009B45B7">
      <w:pPr>
        <w:pStyle w:val="Para5"/>
        <w:rPr>
          <w:lang w:val="en-US"/>
        </w:rPr>
      </w:pPr>
      <w:r w:rsidRPr="00F72E28">
        <w:rPr>
          <w:lang w:val="en-US"/>
        </w:rPr>
        <w:t>Retention or provision of at least two canopy trees with a minimum mature height of 10.0m</w:t>
      </w:r>
      <w:r w:rsidR="009A49D7" w:rsidRPr="00F72E28">
        <w:rPr>
          <w:lang w:val="en-US"/>
        </w:rPr>
        <w:t xml:space="preserve">  </w:t>
      </w:r>
    </w:p>
    <w:p w:rsidR="00895173" w:rsidRDefault="00691472" w:rsidP="00E448D5">
      <w:pPr>
        <w:pStyle w:val="Para1"/>
        <w:rPr>
          <w:lang w:val="en-US"/>
        </w:rPr>
      </w:pPr>
      <w:r>
        <w:rPr>
          <w:lang w:val="en-US"/>
        </w:rPr>
        <w:t>I note t</w:t>
      </w:r>
      <w:r w:rsidR="009A49D7" w:rsidRPr="00F72E28">
        <w:rPr>
          <w:lang w:val="en-US"/>
        </w:rPr>
        <w:t xml:space="preserve">he proposal </w:t>
      </w:r>
      <w:r w:rsidR="007D5A6F">
        <w:rPr>
          <w:lang w:val="en-US"/>
        </w:rPr>
        <w:t>complies with</w:t>
      </w:r>
      <w:r w:rsidR="009A49D7" w:rsidRPr="00F72E28">
        <w:rPr>
          <w:lang w:val="en-US"/>
        </w:rPr>
        <w:t xml:space="preserve"> </w:t>
      </w:r>
      <w:r w:rsidR="00672E6B" w:rsidRPr="00F72E28">
        <w:rPr>
          <w:lang w:val="en-US"/>
        </w:rPr>
        <w:t xml:space="preserve">the front setback variation, front fence provision, minimum </w:t>
      </w:r>
      <w:r w:rsidR="009A49D7" w:rsidRPr="00F72E28">
        <w:rPr>
          <w:lang w:val="en-US"/>
        </w:rPr>
        <w:t>garden area</w:t>
      </w:r>
      <w:r w:rsidR="00E73A56" w:rsidRPr="00F72E28">
        <w:rPr>
          <w:lang w:val="en-US"/>
        </w:rPr>
        <w:t xml:space="preserve"> requirements</w:t>
      </w:r>
      <w:r w:rsidR="00E448D5" w:rsidRPr="00F72E28">
        <w:rPr>
          <w:lang w:val="en-US"/>
        </w:rPr>
        <w:t xml:space="preserve"> </w:t>
      </w:r>
      <w:r w:rsidR="009A49D7" w:rsidRPr="00F72E28">
        <w:rPr>
          <w:lang w:val="en-US"/>
        </w:rPr>
        <w:t xml:space="preserve">and height requirements sought </w:t>
      </w:r>
      <w:r w:rsidR="00E73A56" w:rsidRPr="00F72E28">
        <w:rPr>
          <w:lang w:val="en-US"/>
        </w:rPr>
        <w:t>under</w:t>
      </w:r>
      <w:r w:rsidR="009A49D7" w:rsidRPr="00F72E28">
        <w:rPr>
          <w:lang w:val="en-US"/>
        </w:rPr>
        <w:t xml:space="preserve"> the zone</w:t>
      </w:r>
      <w:r w:rsidR="006D5C61" w:rsidRPr="00F72E28">
        <w:rPr>
          <w:lang w:val="en-US"/>
        </w:rPr>
        <w:t xml:space="preserve"> </w:t>
      </w:r>
      <w:r w:rsidR="00672E6B" w:rsidRPr="00F72E28">
        <w:rPr>
          <w:lang w:val="en-US"/>
        </w:rPr>
        <w:t xml:space="preserve">and </w:t>
      </w:r>
      <w:r w:rsidR="006D5C61" w:rsidRPr="00F72E28">
        <w:rPr>
          <w:lang w:val="en-US"/>
        </w:rPr>
        <w:t>schedule</w:t>
      </w:r>
      <w:r w:rsidR="00E448D5" w:rsidRPr="00F72E28">
        <w:rPr>
          <w:lang w:val="en-US"/>
        </w:rPr>
        <w:t xml:space="preserve"> variations</w:t>
      </w:r>
      <w:r w:rsidR="009A49D7" w:rsidRPr="00F72E28">
        <w:rPr>
          <w:lang w:val="en-US"/>
        </w:rPr>
        <w:t>.</w:t>
      </w:r>
    </w:p>
    <w:p w:rsidR="009A49D7" w:rsidRPr="002668F6" w:rsidRDefault="00895173" w:rsidP="002668F6">
      <w:pPr>
        <w:pStyle w:val="Para1"/>
        <w:rPr>
          <w:lang w:val="en-US"/>
        </w:rPr>
      </w:pPr>
      <w:r>
        <w:rPr>
          <w:lang w:val="en-US"/>
        </w:rPr>
        <w:t>Decision Guidelines at s</w:t>
      </w:r>
      <w:r w:rsidR="002668F6">
        <w:rPr>
          <w:lang w:val="en-US"/>
        </w:rPr>
        <w:t xml:space="preserve">6.0 </w:t>
      </w:r>
      <w:r>
        <w:rPr>
          <w:lang w:val="en-US"/>
        </w:rPr>
        <w:t xml:space="preserve">within the </w:t>
      </w:r>
      <w:r w:rsidR="002668F6">
        <w:rPr>
          <w:lang w:val="en-US"/>
        </w:rPr>
        <w:t xml:space="preserve">Schedule to </w:t>
      </w:r>
      <w:r>
        <w:rPr>
          <w:lang w:val="en-US"/>
        </w:rPr>
        <w:t>GRZ7 detail matters for consideration and address</w:t>
      </w:r>
      <w:r w:rsidR="002668F6">
        <w:rPr>
          <w:lang w:val="en-US"/>
        </w:rPr>
        <w:t xml:space="preserve"> amongst other matters, </w:t>
      </w:r>
      <w:r w:rsidRPr="002668F6">
        <w:rPr>
          <w:lang w:val="en-US"/>
        </w:rPr>
        <w:t xml:space="preserve">housing diversity, preferred character statement, garden city character, buildings </w:t>
      </w:r>
      <w:r w:rsidR="0047068C">
        <w:rPr>
          <w:lang w:val="en-US"/>
        </w:rPr>
        <w:t xml:space="preserve">to </w:t>
      </w:r>
      <w:r w:rsidR="002668F6">
        <w:rPr>
          <w:lang w:val="en-US"/>
        </w:rPr>
        <w:t>retain</w:t>
      </w:r>
      <w:r w:rsidRPr="002668F6">
        <w:rPr>
          <w:lang w:val="en-US"/>
        </w:rPr>
        <w:t xml:space="preserve"> ‘human scale’ and minimizing amenity impacts to neighbouring properties</w:t>
      </w:r>
      <w:r w:rsidR="002668F6">
        <w:rPr>
          <w:lang w:val="en-US"/>
        </w:rPr>
        <w:t>.</w:t>
      </w:r>
      <w:r w:rsidR="00691472">
        <w:rPr>
          <w:lang w:val="en-US"/>
        </w:rPr>
        <w:t xml:space="preserve">  I deal with these matters in more detail under Key Issues.</w:t>
      </w:r>
      <w:r w:rsidR="009A49D7" w:rsidRPr="002668F6">
        <w:rPr>
          <w:lang w:val="en-US"/>
        </w:rPr>
        <w:t xml:space="preserve">  </w:t>
      </w:r>
    </w:p>
    <w:p w:rsidR="009A49D7" w:rsidRPr="00F72E28" w:rsidRDefault="009A49D7" w:rsidP="009A49D7">
      <w:pPr>
        <w:pStyle w:val="Heading3"/>
        <w:rPr>
          <w:lang w:val="en-US"/>
        </w:rPr>
      </w:pPr>
      <w:r w:rsidRPr="00F72E28">
        <w:rPr>
          <w:lang w:val="en-US"/>
        </w:rPr>
        <w:t>Planning Policy Framework (PPF)</w:t>
      </w:r>
    </w:p>
    <w:p w:rsidR="00E73A56" w:rsidRPr="00F72E28" w:rsidRDefault="009A49D7" w:rsidP="009A49D7">
      <w:pPr>
        <w:pStyle w:val="Para1"/>
        <w:rPr>
          <w:lang w:val="en-US"/>
        </w:rPr>
      </w:pPr>
      <w:r w:rsidRPr="00F72E28">
        <w:rPr>
          <w:lang w:val="en-US"/>
        </w:rPr>
        <w:t>Clause</w:t>
      </w:r>
      <w:r w:rsidR="00E73A56" w:rsidRPr="00F72E28">
        <w:rPr>
          <w:lang w:val="en-US"/>
        </w:rPr>
        <w:t>s</w:t>
      </w:r>
      <w:r w:rsidRPr="00F72E28">
        <w:rPr>
          <w:lang w:val="en-US"/>
        </w:rPr>
        <w:t xml:space="preserve"> </w:t>
      </w:r>
      <w:r w:rsidR="00E73A56" w:rsidRPr="00F72E28">
        <w:rPr>
          <w:lang w:val="en-US"/>
        </w:rPr>
        <w:t xml:space="preserve">11, </w:t>
      </w:r>
      <w:r w:rsidRPr="00F72E28">
        <w:rPr>
          <w:lang w:val="en-US"/>
        </w:rPr>
        <w:t>11.03-</w:t>
      </w:r>
      <w:r w:rsidR="00E73A56" w:rsidRPr="00F72E28">
        <w:rPr>
          <w:lang w:val="en-US"/>
        </w:rPr>
        <w:t>1</w:t>
      </w:r>
      <w:r w:rsidRPr="00F72E28">
        <w:rPr>
          <w:lang w:val="en-US"/>
        </w:rPr>
        <w:t>S</w:t>
      </w:r>
      <w:r w:rsidR="00E73A56" w:rsidRPr="00F72E28">
        <w:rPr>
          <w:lang w:val="en-US"/>
        </w:rPr>
        <w:t>, 16.01-2</w:t>
      </w:r>
      <w:r w:rsidR="003020D5" w:rsidRPr="00F72E28">
        <w:rPr>
          <w:lang w:val="en-US"/>
        </w:rPr>
        <w:t>S</w:t>
      </w:r>
      <w:r w:rsidR="00E73A56" w:rsidRPr="00F72E28">
        <w:rPr>
          <w:lang w:val="en-US"/>
        </w:rPr>
        <w:t xml:space="preserve"> and 16.01-1R support</w:t>
      </w:r>
      <w:r w:rsidR="006D5C61" w:rsidRPr="00F72E28">
        <w:rPr>
          <w:lang w:val="en-US"/>
        </w:rPr>
        <w:t xml:space="preserve"> </w:t>
      </w:r>
      <w:r w:rsidR="00E73A56" w:rsidRPr="00F72E28">
        <w:rPr>
          <w:lang w:val="en-US"/>
        </w:rPr>
        <w:t xml:space="preserve">higher density housing within locations that are well serviced </w:t>
      </w:r>
      <w:r w:rsidR="007D5A6F">
        <w:rPr>
          <w:lang w:val="en-US"/>
        </w:rPr>
        <w:t xml:space="preserve">by </w:t>
      </w:r>
      <w:r w:rsidR="00E73A56" w:rsidRPr="00F72E28">
        <w:rPr>
          <w:lang w:val="en-US"/>
        </w:rPr>
        <w:t>public transport</w:t>
      </w:r>
      <w:r w:rsidR="006B505C">
        <w:rPr>
          <w:lang w:val="en-US"/>
        </w:rPr>
        <w:t xml:space="preserve">, </w:t>
      </w:r>
      <w:r w:rsidR="00E448D5" w:rsidRPr="00F72E28">
        <w:rPr>
          <w:lang w:val="en-US"/>
        </w:rPr>
        <w:t>service</w:t>
      </w:r>
      <w:r w:rsidR="00E73A56" w:rsidRPr="00F72E28">
        <w:rPr>
          <w:lang w:val="en-US"/>
        </w:rPr>
        <w:t xml:space="preserve"> infrastructure</w:t>
      </w:r>
      <w:r w:rsidR="009B25D6">
        <w:rPr>
          <w:lang w:val="en-US"/>
        </w:rPr>
        <w:t xml:space="preserve"> and </w:t>
      </w:r>
      <w:r w:rsidR="006B505C">
        <w:rPr>
          <w:lang w:val="en-US"/>
        </w:rPr>
        <w:t xml:space="preserve">community facilities and </w:t>
      </w:r>
      <w:r w:rsidR="009B25D6">
        <w:rPr>
          <w:lang w:val="en-US"/>
        </w:rPr>
        <w:t xml:space="preserve">provide for </w:t>
      </w:r>
      <w:r w:rsidR="006B505C">
        <w:rPr>
          <w:lang w:val="en-US"/>
        </w:rPr>
        <w:t>employment opportunities</w:t>
      </w:r>
      <w:r w:rsidR="00F72E28" w:rsidRPr="00F72E28">
        <w:rPr>
          <w:lang w:val="en-US"/>
        </w:rPr>
        <w:t>.</w:t>
      </w:r>
    </w:p>
    <w:p w:rsidR="009A49D7" w:rsidRPr="00F72E28" w:rsidRDefault="007D5A6F" w:rsidP="009A49D7">
      <w:pPr>
        <w:pStyle w:val="Para1"/>
        <w:rPr>
          <w:lang w:val="en-US"/>
        </w:rPr>
      </w:pPr>
      <w:r>
        <w:rPr>
          <w:lang w:val="en-US"/>
        </w:rPr>
        <w:t>C</w:t>
      </w:r>
      <w:r w:rsidR="00E73A56" w:rsidRPr="00F72E28">
        <w:rPr>
          <w:lang w:val="en-US"/>
        </w:rPr>
        <w:t>lause 15.01-5S acknowledges and supports</w:t>
      </w:r>
      <w:r w:rsidR="003020D5" w:rsidRPr="00F72E28">
        <w:rPr>
          <w:lang w:val="en-US"/>
        </w:rPr>
        <w:t xml:space="preserve"> the protection of neighbourhood character, cultural identity and sense of place</w:t>
      </w:r>
      <w:r>
        <w:rPr>
          <w:lang w:val="en-US"/>
        </w:rPr>
        <w:t xml:space="preserve"> for new residential development; while c</w:t>
      </w:r>
      <w:r w:rsidR="003020D5" w:rsidRPr="00F72E28">
        <w:rPr>
          <w:lang w:val="en-US"/>
        </w:rPr>
        <w:t>lause 15.02-1S encourages development that is focused on energy and resource efficiency.</w:t>
      </w:r>
      <w:r w:rsidR="009A49D7" w:rsidRPr="00F72E28">
        <w:rPr>
          <w:lang w:val="en-US"/>
        </w:rPr>
        <w:t xml:space="preserve">  </w:t>
      </w:r>
    </w:p>
    <w:p w:rsidR="00C041A1" w:rsidRPr="009B25D6" w:rsidRDefault="00C041A1" w:rsidP="00C041A1">
      <w:pPr>
        <w:pStyle w:val="Heading3"/>
        <w:rPr>
          <w:lang w:val="en-US"/>
        </w:rPr>
      </w:pPr>
      <w:r w:rsidRPr="009B25D6">
        <w:rPr>
          <w:lang w:val="en-US"/>
        </w:rPr>
        <w:t>Local Policy and Planning Strategies</w:t>
      </w:r>
    </w:p>
    <w:p w:rsidR="0047068C" w:rsidRPr="009B25D6" w:rsidRDefault="00DD56CD" w:rsidP="005C183F">
      <w:pPr>
        <w:pStyle w:val="Para1"/>
      </w:pPr>
      <w:r w:rsidRPr="009B25D6">
        <w:t>I consider t</w:t>
      </w:r>
      <w:r w:rsidR="0047068C" w:rsidRPr="009B25D6">
        <w:t>he following local policy provisions are relevant</w:t>
      </w:r>
      <w:r w:rsidR="009B25D6">
        <w:t xml:space="preserve"> to this matter</w:t>
      </w:r>
      <w:r w:rsidR="0047068C" w:rsidRPr="009B25D6">
        <w:t>:</w:t>
      </w:r>
    </w:p>
    <w:p w:rsidR="0047068C" w:rsidRDefault="002668F6" w:rsidP="00AB0951">
      <w:pPr>
        <w:pStyle w:val="Para2"/>
        <w:ind w:left="0"/>
        <w:rPr>
          <w:b/>
          <w:bCs/>
        </w:rPr>
      </w:pPr>
      <w:r w:rsidRPr="00AB0951">
        <w:rPr>
          <w:b/>
          <w:bCs/>
        </w:rPr>
        <w:t>Clause 21.04 (Residential Development)</w:t>
      </w:r>
    </w:p>
    <w:p w:rsidR="00AB0951" w:rsidRPr="00AB0951" w:rsidRDefault="00AB0951" w:rsidP="00AB0951">
      <w:pPr>
        <w:pStyle w:val="Para5"/>
      </w:pPr>
      <w:r>
        <w:t>This clause</w:t>
      </w:r>
      <w:r w:rsidR="009B25D6">
        <w:t xml:space="preserve"> has now been updated to give effect to the Housing Strategy and the residential development framework set out within it.  I note the residential development framework has effectively been </w:t>
      </w:r>
      <w:r w:rsidR="00404CB7">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0"/>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B25D6">
        <w:t>translated from the content of the Housing Strategy.  Under this clause the review site is now formally identified in an area that is designate</w:t>
      </w:r>
      <w:r w:rsidR="0055484C">
        <w:t>d as having future development potential (</w:t>
      </w:r>
      <w:r w:rsidR="009B25D6">
        <w:t>C</w:t>
      </w:r>
      <w:r w:rsidR="0055484C">
        <w:t>a</w:t>
      </w:r>
      <w:r w:rsidR="009B25D6">
        <w:t>tegory I</w:t>
      </w:r>
      <w:r w:rsidR="0055484C">
        <w:t>: Activity and Neighbourhood Centres).</w:t>
      </w:r>
      <w:r>
        <w:t xml:space="preserve"> </w:t>
      </w:r>
    </w:p>
    <w:p w:rsidR="00AB0951" w:rsidRDefault="0047068C" w:rsidP="00AB0951">
      <w:pPr>
        <w:pStyle w:val="Para2"/>
        <w:ind w:left="0"/>
        <w:rPr>
          <w:lang w:val="en-US"/>
        </w:rPr>
      </w:pPr>
      <w:r w:rsidRPr="00AB0951">
        <w:rPr>
          <w:b/>
          <w:bCs/>
        </w:rPr>
        <w:t>Clause 21.06 (Major Activity and Neighbourhood</w:t>
      </w:r>
      <w:r w:rsidR="00DD56CD" w:rsidRPr="00AB0951">
        <w:rPr>
          <w:b/>
          <w:bCs/>
        </w:rPr>
        <w:t xml:space="preserve"> Centres)</w:t>
      </w:r>
    </w:p>
    <w:p w:rsidR="0055484C" w:rsidRDefault="00604B3D" w:rsidP="0055484C">
      <w:pPr>
        <w:pStyle w:val="Para5"/>
        <w:rPr>
          <w:lang w:val="en-US"/>
        </w:rPr>
      </w:pPr>
      <w:r w:rsidRPr="00604B3D">
        <w:rPr>
          <w:lang w:val="en-US"/>
        </w:rPr>
        <w:t xml:space="preserve">This clause identifies the GWMAC as an appropriate and preferred location for the development of high-rise residential development.  </w:t>
      </w:r>
    </w:p>
    <w:p w:rsidR="00604B3D" w:rsidRPr="00604B3D" w:rsidRDefault="00604B3D" w:rsidP="0055484C">
      <w:pPr>
        <w:pStyle w:val="Para5"/>
        <w:rPr>
          <w:lang w:val="en-US"/>
        </w:rPr>
      </w:pPr>
      <w:r w:rsidRPr="00604B3D">
        <w:rPr>
          <w:lang w:val="en-US"/>
        </w:rPr>
        <w:t>The clause also seeks to:</w:t>
      </w:r>
    </w:p>
    <w:p w:rsidR="00604B3D" w:rsidRPr="00604B3D" w:rsidRDefault="00604B3D" w:rsidP="00604B3D">
      <w:pPr>
        <w:pStyle w:val="Quote3"/>
        <w:rPr>
          <w:lang w:val="en-US"/>
        </w:rPr>
      </w:pPr>
      <w:r w:rsidRPr="00604B3D">
        <w:rPr>
          <w:lang w:val="en-US"/>
        </w:rPr>
        <w:t>Require new residential development to provide useable recreational areas, including private, communal and secluded open space areas that are well designed, integrated, functional, safe, solar oriented, well ventilated and meet the needs of future residents.</w:t>
      </w:r>
    </w:p>
    <w:p w:rsidR="00DD56CD" w:rsidRPr="00604B3D" w:rsidRDefault="00604B3D" w:rsidP="00604B3D">
      <w:pPr>
        <w:pStyle w:val="Quote3"/>
        <w:rPr>
          <w:lang w:val="en-US"/>
        </w:rPr>
      </w:pPr>
      <w:r w:rsidRPr="00604B3D">
        <w:rPr>
          <w:lang w:val="en-US"/>
        </w:rPr>
        <w:t>Ensure new residential development achieves high quality architectural and urban design outcomes that positively contribute to neighbourhood character.</w:t>
      </w:r>
    </w:p>
    <w:p w:rsidR="00DD56CD" w:rsidRPr="004B38F0" w:rsidRDefault="00DD56CD" w:rsidP="00AB0951">
      <w:pPr>
        <w:pStyle w:val="Para5"/>
        <w:numPr>
          <w:ilvl w:val="0"/>
          <w:numId w:val="0"/>
        </w:numPr>
        <w:ind w:left="1134" w:hanging="567"/>
        <w:rPr>
          <w:b/>
          <w:bCs/>
        </w:rPr>
      </w:pPr>
      <w:r w:rsidRPr="004B38F0">
        <w:rPr>
          <w:b/>
          <w:bCs/>
        </w:rPr>
        <w:t>Clause 22.01 (Residential Development and Character Policy)</w:t>
      </w:r>
    </w:p>
    <w:p w:rsidR="004B38F0" w:rsidRPr="004B38F0" w:rsidRDefault="004B38F0" w:rsidP="004B38F0">
      <w:pPr>
        <w:pStyle w:val="Para5"/>
      </w:pPr>
      <w:r w:rsidRPr="004B38F0">
        <w:t xml:space="preserve">This clause </w:t>
      </w:r>
      <w:r w:rsidRPr="004B38F0">
        <w:rPr>
          <w:lang w:val="en-US"/>
        </w:rPr>
        <w:t xml:space="preserve">applies to all residential land within the municipality.  Under changes introduced by Amendment C125 Part 2, the review site is </w:t>
      </w:r>
      <w:r w:rsidR="009B25D6">
        <w:rPr>
          <w:lang w:val="en-US"/>
        </w:rPr>
        <w:t xml:space="preserve">now </w:t>
      </w:r>
      <w:r w:rsidRPr="004B38F0">
        <w:rPr>
          <w:lang w:val="en-US"/>
        </w:rPr>
        <w:t>identified in the Monash Residual Residential Area.  Decision Guidelines at clause 22.01-4 state:</w:t>
      </w:r>
    </w:p>
    <w:p w:rsidR="004B38F0" w:rsidRPr="00604B3D" w:rsidRDefault="004B38F0" w:rsidP="004B38F0">
      <w:pPr>
        <w:pStyle w:val="Quote1"/>
      </w:pPr>
      <w:r w:rsidRPr="004B38F0">
        <w:t xml:space="preserve">It is policy that before deciding on an application, the responsible authority will consider, as </w:t>
      </w:r>
      <w:r w:rsidRPr="00604B3D">
        <w:t>appropriate:</w:t>
      </w:r>
    </w:p>
    <w:p w:rsidR="004B38F0" w:rsidRPr="00604B3D" w:rsidRDefault="004B38F0" w:rsidP="004B38F0">
      <w:pPr>
        <w:pStyle w:val="Quote3"/>
      </w:pPr>
      <w:r w:rsidRPr="00604B3D">
        <w:t>The applicable preferred future character statement.</w:t>
      </w:r>
    </w:p>
    <w:p w:rsidR="004B38F0" w:rsidRPr="00604B3D" w:rsidRDefault="004B38F0" w:rsidP="004B38F0">
      <w:pPr>
        <w:pStyle w:val="Quote3"/>
      </w:pPr>
      <w:r w:rsidRPr="00604B3D">
        <w:t>Whether the development will have an adverse impact on neighbourhood character.</w:t>
      </w:r>
    </w:p>
    <w:p w:rsidR="004B38F0" w:rsidRPr="00604B3D" w:rsidRDefault="004B38F0" w:rsidP="004B38F0">
      <w:pPr>
        <w:pStyle w:val="Quote3"/>
      </w:pPr>
      <w:r w:rsidRPr="00604B3D">
        <w:t>Whether the development will have an adverse impact on the amenity of adjoining properties.</w:t>
      </w:r>
    </w:p>
    <w:p w:rsidR="004B38F0" w:rsidRPr="00604B3D" w:rsidRDefault="004B38F0" w:rsidP="004B38F0">
      <w:pPr>
        <w:pStyle w:val="Quote3"/>
      </w:pPr>
      <w:r w:rsidRPr="00604B3D">
        <w:t>Whether the development will have an adverse impact on the environment.</w:t>
      </w:r>
    </w:p>
    <w:p w:rsidR="004B38F0" w:rsidRPr="004B38F0" w:rsidRDefault="004B38F0" w:rsidP="004B38F0">
      <w:pPr>
        <w:pStyle w:val="Quote3"/>
      </w:pPr>
      <w:r w:rsidRPr="00604B3D">
        <w:t>Whether the proposed development will be adversely affected by any adjacent industrial,</w:t>
      </w:r>
      <w:r w:rsidRPr="004B38F0">
        <w:t xml:space="preserve"> commercial or trade activity.</w:t>
      </w:r>
      <w:r w:rsidRPr="004B38F0">
        <w:rPr>
          <w:lang w:val="en-US"/>
        </w:rPr>
        <w:t xml:space="preserve">  </w:t>
      </w:r>
    </w:p>
    <w:p w:rsidR="00AB0951" w:rsidRPr="004B38F0" w:rsidRDefault="004B38F0" w:rsidP="004B38F0">
      <w:pPr>
        <w:pStyle w:val="Para5"/>
        <w:rPr>
          <w:i/>
          <w:iCs/>
          <w:lang w:val="en-US"/>
        </w:rPr>
      </w:pPr>
      <w:r w:rsidRPr="004B38F0">
        <w:rPr>
          <w:lang w:val="en-US"/>
        </w:rPr>
        <w:t>The clause also highlights new development</w:t>
      </w:r>
      <w:r>
        <w:rPr>
          <w:lang w:val="en-US"/>
        </w:rPr>
        <w:t xml:space="preserve"> is to </w:t>
      </w:r>
      <w:r w:rsidRPr="004B38F0">
        <w:rPr>
          <w:i/>
          <w:iCs/>
          <w:lang w:val="en-US"/>
        </w:rPr>
        <w:t>‘respect existing residential environments, with minimal streetscape or amenity impact, designed to achieve outcomes that enhance the garden city character of each area.’</w:t>
      </w:r>
    </w:p>
    <w:p w:rsidR="004B38F0" w:rsidRDefault="00604B3D" w:rsidP="004B38F0">
      <w:pPr>
        <w:pStyle w:val="Para2"/>
        <w:rPr>
          <w:b/>
          <w:bCs/>
        </w:rPr>
      </w:pPr>
      <w:r w:rsidRPr="004B38F0">
        <w:rPr>
          <w:b/>
          <w:bCs/>
        </w:rPr>
        <w:t xml:space="preserve">Clause 22.14 (Glen </w:t>
      </w:r>
      <w:r w:rsidR="00B63E45">
        <w:rPr>
          <w:b/>
          <w:bCs/>
        </w:rPr>
        <w:t>Waverley</w:t>
      </w:r>
      <w:r w:rsidRPr="004B38F0">
        <w:rPr>
          <w:b/>
          <w:bCs/>
        </w:rPr>
        <w:t xml:space="preserve"> Major Activity Centre Structure Plan)</w:t>
      </w:r>
    </w:p>
    <w:p w:rsidR="005C183F" w:rsidRDefault="00604B3D" w:rsidP="004B38F0">
      <w:pPr>
        <w:pStyle w:val="Para5"/>
      </w:pPr>
      <w:r>
        <w:t>Under this clause t</w:t>
      </w:r>
      <w:r w:rsidR="005C183F">
        <w:t>he review site is located within Precinct 7 – ‘Surrounding Residential’ of the GWMAC.  Objectives of the clause of relevance to this proposal include:</w:t>
      </w:r>
    </w:p>
    <w:p w:rsidR="005C183F" w:rsidRDefault="00404CB7" w:rsidP="005C183F">
      <w:pPr>
        <w:pStyle w:val="Quote3"/>
      </w:pPr>
      <w:r>
        <w:rPr>
          <w:noProof/>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C183F">
        <w:t>To encourage the development of a range of housing types within the GWAC to cater to all ages and circumstances, and meet expected population growth.</w:t>
      </w:r>
    </w:p>
    <w:p w:rsidR="005C183F" w:rsidRDefault="005C183F" w:rsidP="005C183F">
      <w:pPr>
        <w:pStyle w:val="Quote3"/>
      </w:pPr>
      <w:r>
        <w:t xml:space="preserve">To promote excellence in architectural quality and design across the major activity centre defining a contemporary and exciting identity for Glen Waverley.   </w:t>
      </w:r>
    </w:p>
    <w:p w:rsidR="005C183F" w:rsidRDefault="005C183F" w:rsidP="004B38F0">
      <w:pPr>
        <w:pStyle w:val="Para5"/>
      </w:pPr>
      <w:r>
        <w:t xml:space="preserve">Relevant policy within this clause </w:t>
      </w:r>
      <w:r w:rsidR="00604B3D">
        <w:t>also seeks to</w:t>
      </w:r>
      <w:r>
        <w:t>:</w:t>
      </w:r>
    </w:p>
    <w:p w:rsidR="005C183F" w:rsidRDefault="005C183F" w:rsidP="005C183F">
      <w:pPr>
        <w:pStyle w:val="Quote3"/>
      </w:pPr>
      <w:r>
        <w:rPr>
          <w:lang w:eastAsia="en-AU"/>
        </w:rPr>
        <w:t>Encourage a broader range of housing choices to be developed throughout the centre, including</w:t>
      </w:r>
      <w:r w:rsidRPr="004A79C2">
        <w:rPr>
          <w:lang w:eastAsia="en-AU"/>
        </w:rPr>
        <w:t xml:space="preserve"> </w:t>
      </w:r>
      <w:r>
        <w:rPr>
          <w:lang w:eastAsia="en-AU"/>
        </w:rPr>
        <w:t>higher density housing on key development sites in the commercial area, residential uses above</w:t>
      </w:r>
      <w:r w:rsidRPr="004A79C2">
        <w:rPr>
          <w:rFonts w:ascii="TimesNewRomanPSMT" w:hAnsi="TimesNewRomanPSMT" w:cs="TimesNewRomanPSMT"/>
          <w:sz w:val="22"/>
          <w:szCs w:val="22"/>
          <w:lang w:eastAsia="en-AU"/>
        </w:rPr>
        <w:t xml:space="preserve"> </w:t>
      </w:r>
      <w:r>
        <w:rPr>
          <w:rFonts w:ascii="TimesNewRomanPSMT" w:hAnsi="TimesNewRomanPSMT" w:cs="TimesNewRomanPSMT"/>
          <w:sz w:val="22"/>
          <w:szCs w:val="22"/>
          <w:lang w:eastAsia="en-AU"/>
        </w:rPr>
        <w:t>retail and lower scale housing in the surrounding areas.</w:t>
      </w:r>
    </w:p>
    <w:p w:rsidR="005C183F" w:rsidRDefault="005C183F" w:rsidP="005C183F">
      <w:pPr>
        <w:pStyle w:val="Quote3"/>
        <w:rPr>
          <w:lang w:eastAsia="en-AU"/>
        </w:rPr>
      </w:pPr>
      <w:r>
        <w:rPr>
          <w:lang w:eastAsia="en-AU"/>
        </w:rPr>
        <w:t>Encourage excellence in building design within both commercial and residential areas so that development responds to the characteristics of the site and its context.</w:t>
      </w:r>
    </w:p>
    <w:p w:rsidR="005C183F" w:rsidRDefault="005C183F" w:rsidP="005C183F">
      <w:pPr>
        <w:pStyle w:val="Quote3"/>
        <w:rPr>
          <w:lang w:eastAsia="en-AU"/>
        </w:rPr>
      </w:pPr>
      <w:r>
        <w:rPr>
          <w:lang w:eastAsia="en-AU"/>
        </w:rPr>
        <w:t>Encourage excellence in building design within both commercial and residential areas so that development responds to the characteristics of the site and its context.</w:t>
      </w:r>
    </w:p>
    <w:p w:rsidR="005C183F" w:rsidRDefault="005C183F" w:rsidP="005C183F">
      <w:pPr>
        <w:pStyle w:val="Quote3"/>
        <w:rPr>
          <w:lang w:eastAsia="en-AU"/>
        </w:rPr>
      </w:pPr>
      <w:r w:rsidRPr="004A79C2">
        <w:rPr>
          <w:lang w:eastAsia="en-AU"/>
        </w:rPr>
        <w:t>Avoid large high massing buildings that dominate streetscapes and open spaces.</w:t>
      </w:r>
    </w:p>
    <w:p w:rsidR="005C183F" w:rsidRDefault="005C183F" w:rsidP="005C183F">
      <w:pPr>
        <w:pStyle w:val="Quote3"/>
        <w:rPr>
          <w:lang w:eastAsia="en-AU"/>
        </w:rPr>
      </w:pPr>
      <w:r>
        <w:rPr>
          <w:lang w:eastAsia="en-AU"/>
        </w:rPr>
        <w:t>Design buildings to address the future amenity of the occupants, visitors and those using public</w:t>
      </w:r>
      <w:r w:rsidRPr="004A113A">
        <w:rPr>
          <w:lang w:eastAsia="en-AU"/>
        </w:rPr>
        <w:t xml:space="preserve"> </w:t>
      </w:r>
      <w:r>
        <w:rPr>
          <w:lang w:eastAsia="en-AU"/>
        </w:rPr>
        <w:t>streets by maximising accessibility, passive surveillance and internal amenity.</w:t>
      </w:r>
    </w:p>
    <w:p w:rsidR="005C183F" w:rsidRDefault="005C183F" w:rsidP="005C183F">
      <w:pPr>
        <w:pStyle w:val="Quote3"/>
        <w:rPr>
          <w:lang w:eastAsia="en-AU"/>
        </w:rPr>
      </w:pPr>
      <w:r>
        <w:rPr>
          <w:lang w:eastAsia="en-AU"/>
        </w:rPr>
        <w:t>Ensure that developments contribute to the ‘buildings-in-landscape’ character of the existing</w:t>
      </w:r>
      <w:r w:rsidRPr="004A113A">
        <w:rPr>
          <w:lang w:eastAsia="en-AU"/>
        </w:rPr>
        <w:t xml:space="preserve"> </w:t>
      </w:r>
      <w:r>
        <w:rPr>
          <w:lang w:eastAsia="en-AU"/>
        </w:rPr>
        <w:t>residential areas surrounding the GWAC commercial centre.</w:t>
      </w:r>
    </w:p>
    <w:p w:rsidR="00FA6411" w:rsidRPr="004B38F0" w:rsidRDefault="00FA6411" w:rsidP="00FA6411">
      <w:pPr>
        <w:pStyle w:val="Para1"/>
        <w:rPr>
          <w:lang w:eastAsia="en-AU"/>
        </w:rPr>
      </w:pPr>
      <w:r w:rsidRPr="004B38F0">
        <w:rPr>
          <w:lang w:eastAsia="en-AU"/>
        </w:rPr>
        <w:t xml:space="preserve">I take from these </w:t>
      </w:r>
      <w:r w:rsidR="009B25D6">
        <w:rPr>
          <w:lang w:eastAsia="en-AU"/>
        </w:rPr>
        <w:t>State and L</w:t>
      </w:r>
      <w:r w:rsidR="004B38F0" w:rsidRPr="004B38F0">
        <w:rPr>
          <w:lang w:eastAsia="en-AU"/>
        </w:rPr>
        <w:t xml:space="preserve">ocal </w:t>
      </w:r>
      <w:r w:rsidRPr="004B38F0">
        <w:rPr>
          <w:lang w:eastAsia="en-AU"/>
        </w:rPr>
        <w:t xml:space="preserve">policy settings that the residential areas surrounding the GWMAC </w:t>
      </w:r>
      <w:r w:rsidR="004B38F0" w:rsidRPr="004B38F0">
        <w:rPr>
          <w:lang w:eastAsia="en-AU"/>
        </w:rPr>
        <w:t xml:space="preserve">are </w:t>
      </w:r>
      <w:r w:rsidRPr="004B38F0">
        <w:rPr>
          <w:lang w:eastAsia="en-AU"/>
        </w:rPr>
        <w:t>expect</w:t>
      </w:r>
      <w:r w:rsidR="009B25D6">
        <w:rPr>
          <w:lang w:eastAsia="en-AU"/>
        </w:rPr>
        <w:t>ed</w:t>
      </w:r>
      <w:r w:rsidRPr="004B38F0">
        <w:rPr>
          <w:lang w:eastAsia="en-AU"/>
        </w:rPr>
        <w:t xml:space="preserve"> </w:t>
      </w:r>
      <w:r w:rsidR="00F72E28" w:rsidRPr="004B38F0">
        <w:rPr>
          <w:lang w:eastAsia="en-AU"/>
        </w:rPr>
        <w:t xml:space="preserve">to accommodate </w:t>
      </w:r>
      <w:r w:rsidR="00AB0951" w:rsidRPr="004B38F0">
        <w:rPr>
          <w:lang w:eastAsia="en-AU"/>
        </w:rPr>
        <w:t xml:space="preserve">some </w:t>
      </w:r>
      <w:r w:rsidRPr="004B38F0">
        <w:rPr>
          <w:lang w:eastAsia="en-AU"/>
        </w:rPr>
        <w:t xml:space="preserve">change in density and character.  However, </w:t>
      </w:r>
      <w:r w:rsidR="009B25D6">
        <w:rPr>
          <w:lang w:eastAsia="en-AU"/>
        </w:rPr>
        <w:t xml:space="preserve">new </w:t>
      </w:r>
      <w:r w:rsidRPr="004B38F0">
        <w:rPr>
          <w:lang w:eastAsia="en-AU"/>
        </w:rPr>
        <w:t>development</w:t>
      </w:r>
      <w:r w:rsidR="009B25D6">
        <w:rPr>
          <w:lang w:eastAsia="en-AU"/>
        </w:rPr>
        <w:t xml:space="preserve"> </w:t>
      </w:r>
      <w:r w:rsidR="00AB0951" w:rsidRPr="004B38F0">
        <w:rPr>
          <w:lang w:eastAsia="en-AU"/>
        </w:rPr>
        <w:t xml:space="preserve">is to </w:t>
      </w:r>
      <w:r w:rsidRPr="004B38F0">
        <w:rPr>
          <w:lang w:eastAsia="en-AU"/>
        </w:rPr>
        <w:t>achiev</w:t>
      </w:r>
      <w:r w:rsidR="00AB0951" w:rsidRPr="004B38F0">
        <w:rPr>
          <w:lang w:eastAsia="en-AU"/>
        </w:rPr>
        <w:t>e excellence in built form and architectural quality,</w:t>
      </w:r>
      <w:r w:rsidRPr="004B38F0">
        <w:rPr>
          <w:lang w:eastAsia="en-AU"/>
        </w:rPr>
        <w:t xml:space="preserve"> </w:t>
      </w:r>
      <w:r w:rsidR="00AB0951" w:rsidRPr="004B38F0">
        <w:rPr>
          <w:lang w:eastAsia="en-AU"/>
        </w:rPr>
        <w:t>create human scaled places, avoid large high massing buildings that dominate streetscapes and open spaces, ensure developments contribute to the ‘buildings-in-landscape’ character and achieve an</w:t>
      </w:r>
      <w:r w:rsidRPr="004B38F0">
        <w:rPr>
          <w:lang w:eastAsia="en-AU"/>
        </w:rPr>
        <w:t xml:space="preserve"> appropriate </w:t>
      </w:r>
      <w:r w:rsidR="00F72E28" w:rsidRPr="004B38F0">
        <w:rPr>
          <w:lang w:eastAsia="en-AU"/>
        </w:rPr>
        <w:t xml:space="preserve">design </w:t>
      </w:r>
      <w:r w:rsidRPr="004B38F0">
        <w:rPr>
          <w:lang w:eastAsia="en-AU"/>
        </w:rPr>
        <w:t>balance and</w:t>
      </w:r>
      <w:r w:rsidR="00F72E28" w:rsidRPr="004B38F0">
        <w:rPr>
          <w:lang w:eastAsia="en-AU"/>
        </w:rPr>
        <w:t xml:space="preserve"> amenity</w:t>
      </w:r>
      <w:r w:rsidR="009B25D6">
        <w:rPr>
          <w:lang w:eastAsia="en-AU"/>
        </w:rPr>
        <w:t xml:space="preserve"> outcome</w:t>
      </w:r>
      <w:r w:rsidRPr="004B38F0">
        <w:rPr>
          <w:lang w:eastAsia="en-AU"/>
        </w:rPr>
        <w:t>.</w:t>
      </w:r>
    </w:p>
    <w:p w:rsidR="007D5A6F" w:rsidRPr="00554886" w:rsidRDefault="007D5A6F" w:rsidP="007D5A6F">
      <w:pPr>
        <w:pStyle w:val="Heading3"/>
      </w:pPr>
      <w:r w:rsidRPr="00554886">
        <w:t>Monash Housing Strategy (2014)</w:t>
      </w:r>
    </w:p>
    <w:p w:rsidR="007D5A6F" w:rsidRPr="00554886" w:rsidRDefault="007D5A6F" w:rsidP="007D5A6F">
      <w:pPr>
        <w:pStyle w:val="Para1"/>
      </w:pPr>
      <w:r w:rsidRPr="00554886">
        <w:t xml:space="preserve">This strategy document </w:t>
      </w:r>
      <w:r w:rsidR="00BC192A" w:rsidRPr="00554886">
        <w:t>is a Reference Document within the Scheme</w:t>
      </w:r>
      <w:r w:rsidR="00BC192A" w:rsidRPr="00554886">
        <w:rPr>
          <w:rStyle w:val="FootnoteReference"/>
        </w:rPr>
        <w:footnoteReference w:id="5"/>
      </w:r>
      <w:r w:rsidR="00BC192A" w:rsidRPr="00554886">
        <w:t xml:space="preserve">.  It provides guidance in relation to development within higher order activity centres and surrounding residential areas and </w:t>
      </w:r>
      <w:r w:rsidRPr="00554886">
        <w:t>includes future character statements for areas identified within a Residential Development Framework Map</w:t>
      </w:r>
      <w:r w:rsidR="00BC192A" w:rsidRPr="00554886">
        <w:t>.</w:t>
      </w:r>
      <w:r w:rsidR="00895173" w:rsidRPr="00554886">
        <w:t xml:space="preserve"> </w:t>
      </w:r>
      <w:r w:rsidRPr="00554886">
        <w:t>The</w:t>
      </w:r>
      <w:r w:rsidR="00BC192A" w:rsidRPr="00554886">
        <w:t xml:space="preserve"> review</w:t>
      </w:r>
      <w:r w:rsidRPr="00554886">
        <w:t xml:space="preserve"> site </w:t>
      </w:r>
      <w:r w:rsidR="00BC192A" w:rsidRPr="00554886">
        <w:t xml:space="preserve">is identified </w:t>
      </w:r>
      <w:r w:rsidRPr="00554886">
        <w:t xml:space="preserve">as </w:t>
      </w:r>
      <w:r w:rsidR="00BC192A" w:rsidRPr="00554886">
        <w:t xml:space="preserve">a </w:t>
      </w:r>
      <w:r w:rsidRPr="00554886">
        <w:t>Category 1: Activity and Neighbourhood Centres Area.</w:t>
      </w:r>
      <w:r w:rsidR="00BC192A" w:rsidRPr="00554886">
        <w:t xml:space="preserve">  Future Character and Residential Outcomes in this Category </w:t>
      </w:r>
      <w:r w:rsidR="00691472">
        <w:t>are</w:t>
      </w:r>
      <w:r w:rsidR="00BC192A" w:rsidRPr="00554886">
        <w:t xml:space="preserve"> stated in the following terms:</w:t>
      </w:r>
    </w:p>
    <w:p w:rsidR="00BC192A" w:rsidRPr="00554886" w:rsidRDefault="00BC192A" w:rsidP="00BC192A">
      <w:pPr>
        <w:pStyle w:val="Quote1"/>
        <w:rPr>
          <w:b/>
          <w:bCs/>
        </w:rPr>
      </w:pPr>
      <w:r w:rsidRPr="00554886">
        <w:rPr>
          <w:b/>
          <w:bCs/>
        </w:rPr>
        <w:t>Future Character:</w:t>
      </w:r>
    </w:p>
    <w:p w:rsidR="00BC192A" w:rsidRPr="00554886" w:rsidRDefault="00404CB7" w:rsidP="00BC192A">
      <w:pPr>
        <w:pStyle w:val="Quote1"/>
      </w:pPr>
      <w:r>
        <w:rPr>
          <w:noProof/>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2"/>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C192A" w:rsidRPr="00554886">
        <w:t>Development within these areas will support housing growth and diversification; be of high quality, contemporary design, support pedestrian comfort, accessibility and safety, and incorporate environmentally sustainable and water sensitive design features</w:t>
      </w:r>
      <w:r w:rsidR="00554886" w:rsidRPr="00554886">
        <w:t>.</w:t>
      </w:r>
    </w:p>
    <w:p w:rsidR="00554886" w:rsidRPr="00554886" w:rsidRDefault="00554886" w:rsidP="00BC192A">
      <w:pPr>
        <w:pStyle w:val="Quote1"/>
        <w:rPr>
          <w:b/>
          <w:bCs/>
        </w:rPr>
      </w:pPr>
      <w:r w:rsidRPr="00554886">
        <w:rPr>
          <w:b/>
          <w:bCs/>
        </w:rPr>
        <w:t>Residential Outcomes</w:t>
      </w:r>
    </w:p>
    <w:p w:rsidR="00554886" w:rsidRPr="00554886" w:rsidRDefault="00554886" w:rsidP="00BC192A">
      <w:pPr>
        <w:pStyle w:val="Quote1"/>
      </w:pPr>
      <w:r w:rsidRPr="00554886">
        <w:t>Mixed use and apartment development at a density appropriate to the context of the Activity Centre.</w:t>
      </w:r>
    </w:p>
    <w:p w:rsidR="00554886" w:rsidRDefault="00554886" w:rsidP="00BC192A">
      <w:pPr>
        <w:pStyle w:val="Quote1"/>
      </w:pPr>
      <w:r w:rsidRPr="00554886">
        <w:t>Higher density mixed use and apartment developments where identified by structure plans or location specific development controls.</w:t>
      </w:r>
    </w:p>
    <w:p w:rsidR="00554886" w:rsidRPr="00554886" w:rsidRDefault="00554886" w:rsidP="00554886">
      <w:pPr>
        <w:pStyle w:val="Para2"/>
      </w:pPr>
      <w:r>
        <w:t>I note the Residential Development Framework Map at Figure 6A in the Housing Strategy is effectively carried forward into the amended clause 21.04 at Map 3.</w:t>
      </w:r>
    </w:p>
    <w:p w:rsidR="009A49D7" w:rsidRPr="00691472" w:rsidRDefault="009A49D7" w:rsidP="009A49D7">
      <w:pPr>
        <w:pStyle w:val="Heading2"/>
        <w:rPr>
          <w:lang w:val="en-US"/>
        </w:rPr>
      </w:pPr>
      <w:r w:rsidRPr="00691472">
        <w:rPr>
          <w:lang w:val="en-US"/>
        </w:rPr>
        <w:t>Is the proposal respectful of neighbourhood character?</w:t>
      </w:r>
    </w:p>
    <w:p w:rsidR="0004673D" w:rsidRDefault="00554886" w:rsidP="0004673D">
      <w:pPr>
        <w:pStyle w:val="Para1"/>
      </w:pPr>
      <w:r>
        <w:t>As I have highlighted above, I find that p</w:t>
      </w:r>
      <w:r w:rsidR="0004673D">
        <w:t>reserving and enhancing ‘garden city character’ and landscape setting across the municipality is a consistent</w:t>
      </w:r>
      <w:r>
        <w:t xml:space="preserve"> and fundamental</w:t>
      </w:r>
      <w:r w:rsidR="0004673D">
        <w:t xml:space="preserve"> policy objective in the Scheme.  </w:t>
      </w:r>
      <w:r>
        <w:t xml:space="preserve">For example, </w:t>
      </w:r>
      <w:r w:rsidR="0004673D">
        <w:t xml:space="preserve">I note the following Objectives and Strategies at sub clause 21.04-3: </w:t>
      </w:r>
    </w:p>
    <w:p w:rsidR="0004673D" w:rsidRPr="00EB7273" w:rsidRDefault="0004673D" w:rsidP="0004673D">
      <w:pPr>
        <w:pStyle w:val="Quote2"/>
        <w:rPr>
          <w:b/>
          <w:bCs/>
        </w:rPr>
      </w:pPr>
      <w:r>
        <w:rPr>
          <w:b/>
          <w:bCs/>
        </w:rPr>
        <w:t>Objectives</w:t>
      </w:r>
    </w:p>
    <w:p w:rsidR="0004673D" w:rsidRPr="0004673D" w:rsidRDefault="0004673D" w:rsidP="0004673D">
      <w:pPr>
        <w:pStyle w:val="Quote3"/>
        <w:rPr>
          <w:u w:val="single"/>
        </w:rPr>
      </w:pPr>
      <w:r>
        <w:t>To encourage the provision of a variety of housing types and sizes that will accommodate a</w:t>
      </w:r>
      <w:r w:rsidRPr="00EB7273">
        <w:t xml:space="preserve"> </w:t>
      </w:r>
      <w:r>
        <w:t xml:space="preserve">diversity of future housing needs and preferences that </w:t>
      </w:r>
      <w:r w:rsidRPr="0004673D">
        <w:rPr>
          <w:u w:val="single"/>
        </w:rPr>
        <w:t>complement and enhance the garden city character of the city.</w:t>
      </w:r>
    </w:p>
    <w:p w:rsidR="0004673D" w:rsidRDefault="0004673D" w:rsidP="0004673D">
      <w:pPr>
        <w:pStyle w:val="Quote3"/>
      </w:pPr>
      <w:r>
        <w:rPr>
          <w:lang w:eastAsia="en-AU"/>
        </w:rPr>
        <w:t>To recognise the need to conserve treed environments and revegetate new residential</w:t>
      </w:r>
      <w:r w:rsidRPr="00EB7273">
        <w:rPr>
          <w:rFonts w:ascii="TimesNewRomanPSMT" w:hAnsi="TimesNewRomanPSMT" w:cs="TimesNewRomanPSMT"/>
          <w:sz w:val="22"/>
          <w:szCs w:val="22"/>
          <w:lang w:eastAsia="en-AU"/>
        </w:rPr>
        <w:t xml:space="preserve"> </w:t>
      </w:r>
      <w:r>
        <w:rPr>
          <w:rFonts w:ascii="TimesNewRomanPSMT" w:hAnsi="TimesNewRomanPSMT" w:cs="TimesNewRomanPSMT"/>
          <w:sz w:val="22"/>
          <w:szCs w:val="22"/>
          <w:lang w:eastAsia="en-AU"/>
        </w:rPr>
        <w:t xml:space="preserve">developments </w:t>
      </w:r>
      <w:r w:rsidRPr="0004673D">
        <w:rPr>
          <w:rFonts w:ascii="TimesNewRomanPSMT" w:hAnsi="TimesNewRomanPSMT" w:cs="TimesNewRomanPSMT"/>
          <w:sz w:val="22"/>
          <w:szCs w:val="22"/>
          <w:u w:val="single"/>
          <w:lang w:eastAsia="en-AU"/>
        </w:rPr>
        <w:t>to maintain and enhance the garden city character of the municipality.</w:t>
      </w:r>
    </w:p>
    <w:p w:rsidR="0004673D" w:rsidRDefault="0004673D" w:rsidP="0004673D">
      <w:pPr>
        <w:pStyle w:val="Quote3"/>
        <w:rPr>
          <w:lang w:eastAsia="en-AU"/>
        </w:rPr>
      </w:pPr>
      <w:r>
        <w:rPr>
          <w:lang w:eastAsia="en-AU"/>
        </w:rPr>
        <w:t xml:space="preserve">To encourage a </w:t>
      </w:r>
      <w:r w:rsidRPr="0004673D">
        <w:rPr>
          <w:u w:val="single"/>
          <w:lang w:eastAsia="en-AU"/>
        </w:rPr>
        <w:t>high standard of architectural design in buildings and landscaping</w:t>
      </w:r>
      <w:r>
        <w:rPr>
          <w:lang w:eastAsia="en-AU"/>
        </w:rPr>
        <w:t xml:space="preserve"> associated</w:t>
      </w:r>
      <w:r w:rsidRPr="005F3FCB">
        <w:rPr>
          <w:lang w:eastAsia="en-AU"/>
        </w:rPr>
        <w:t xml:space="preserve"> </w:t>
      </w:r>
      <w:r>
        <w:rPr>
          <w:lang w:eastAsia="en-AU"/>
        </w:rPr>
        <w:t>with residential development that takes into account environmentally sustainable development.</w:t>
      </w:r>
    </w:p>
    <w:p w:rsidR="0004673D" w:rsidRDefault="0004673D" w:rsidP="0004673D">
      <w:pPr>
        <w:pStyle w:val="Quote3"/>
        <w:numPr>
          <w:ilvl w:val="0"/>
          <w:numId w:val="0"/>
        </w:numPr>
        <w:ind w:left="1701" w:hanging="567"/>
        <w:rPr>
          <w:b/>
          <w:bCs/>
          <w:lang w:eastAsia="en-AU"/>
        </w:rPr>
      </w:pPr>
      <w:r>
        <w:rPr>
          <w:b/>
          <w:bCs/>
          <w:lang w:eastAsia="en-AU"/>
        </w:rPr>
        <w:t>Strategies</w:t>
      </w:r>
    </w:p>
    <w:p w:rsidR="0004673D" w:rsidRPr="005F3FCB" w:rsidRDefault="0004673D" w:rsidP="0004673D">
      <w:pPr>
        <w:pStyle w:val="Quote3"/>
        <w:rPr>
          <w:lang w:eastAsia="en-AU"/>
        </w:rPr>
      </w:pPr>
      <w:r>
        <w:rPr>
          <w:lang w:eastAsia="en-AU"/>
        </w:rPr>
        <w:t xml:space="preserve">Ensure that development </w:t>
      </w:r>
      <w:r w:rsidRPr="0004673D">
        <w:rPr>
          <w:u w:val="single"/>
          <w:lang w:eastAsia="en-AU"/>
        </w:rPr>
        <w:t>enhances the garden city and landscaped streetscape character of the neighbourhood</w:t>
      </w:r>
      <w:r>
        <w:rPr>
          <w:lang w:eastAsia="en-AU"/>
        </w:rPr>
        <w:t>, responds to the features of the site and surrounding area and promotes good</w:t>
      </w:r>
      <w:r w:rsidRPr="005F3FCB">
        <w:rPr>
          <w:lang w:eastAsia="en-AU"/>
        </w:rPr>
        <w:t xml:space="preserve"> </w:t>
      </w:r>
      <w:r>
        <w:rPr>
          <w:lang w:eastAsia="en-AU"/>
        </w:rPr>
        <w:t>streetscape design.</w:t>
      </w:r>
    </w:p>
    <w:p w:rsidR="0004673D" w:rsidRDefault="0004673D" w:rsidP="0004673D">
      <w:pPr>
        <w:pStyle w:val="Quote3"/>
        <w:rPr>
          <w:lang w:eastAsia="en-AU"/>
        </w:rPr>
      </w:pPr>
      <w:r>
        <w:rPr>
          <w:lang w:eastAsia="en-AU"/>
        </w:rPr>
        <w:t xml:space="preserve">Ensure that new residential development provides </w:t>
      </w:r>
      <w:r w:rsidRPr="0004673D">
        <w:rPr>
          <w:u w:val="single"/>
          <w:lang w:eastAsia="en-AU"/>
        </w:rPr>
        <w:t>a high level of amenity including internal amenity</w:t>
      </w:r>
      <w:r>
        <w:rPr>
          <w:lang w:eastAsia="en-AU"/>
        </w:rPr>
        <w:t>, privacy for occupants and neighbours, access to sunlight, high quality private and</w:t>
      </w:r>
      <w:r w:rsidRPr="005F3FCB">
        <w:rPr>
          <w:lang w:eastAsia="en-AU"/>
        </w:rPr>
        <w:t xml:space="preserve"> </w:t>
      </w:r>
      <w:r>
        <w:rPr>
          <w:lang w:eastAsia="en-AU"/>
        </w:rPr>
        <w:t>public open space, canopy tree cover, and effective traffic management and parking.</w:t>
      </w:r>
    </w:p>
    <w:p w:rsidR="0004673D" w:rsidRPr="0004673D" w:rsidRDefault="0004673D" w:rsidP="0004673D">
      <w:pPr>
        <w:pStyle w:val="Quote3"/>
        <w:rPr>
          <w:u w:val="single"/>
          <w:lang w:eastAsia="en-AU"/>
        </w:rPr>
      </w:pPr>
      <w:r>
        <w:rPr>
          <w:lang w:eastAsia="en-AU"/>
        </w:rPr>
        <w:t>Provide an appropriate built form transition between activity centres and residential areas</w:t>
      </w:r>
      <w:r w:rsidRPr="005F3FCB">
        <w:rPr>
          <w:lang w:eastAsia="en-AU"/>
        </w:rPr>
        <w:t xml:space="preserve"> </w:t>
      </w:r>
      <w:r>
        <w:rPr>
          <w:lang w:eastAsia="en-AU"/>
        </w:rPr>
        <w:t xml:space="preserve">through innovative and </w:t>
      </w:r>
      <w:r w:rsidR="0074460E" w:rsidRPr="0004673D">
        <w:rPr>
          <w:u w:val="single"/>
          <w:lang w:eastAsia="en-AU"/>
        </w:rPr>
        <w:t>high-quality</w:t>
      </w:r>
      <w:r w:rsidRPr="0004673D">
        <w:rPr>
          <w:u w:val="single"/>
          <w:lang w:eastAsia="en-AU"/>
        </w:rPr>
        <w:t xml:space="preserve"> architectural design, appropriate setbacks and landscaping.</w:t>
      </w:r>
    </w:p>
    <w:p w:rsidR="0004673D" w:rsidRPr="0074460E" w:rsidRDefault="0004673D" w:rsidP="0004673D">
      <w:pPr>
        <w:pStyle w:val="Para2"/>
      </w:pPr>
      <w:r w:rsidRPr="0074460E">
        <w:t>(Tribunal emphasis added)</w:t>
      </w:r>
    </w:p>
    <w:p w:rsidR="007C1026" w:rsidRPr="0074460E" w:rsidRDefault="00404CB7" w:rsidP="007C1026">
      <w:pPr>
        <w:pStyle w:val="Para1"/>
        <w:rPr>
          <w:i/>
          <w:iCs/>
        </w:rPr>
      </w:pPr>
      <w:r>
        <w:rPr>
          <w:noProof/>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5" name="VCAT Seal13"/>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B5253" w:rsidRPr="0074460E">
        <w:t xml:space="preserve">The applicant submits that the proposed development is consistent with the </w:t>
      </w:r>
      <w:r w:rsidR="00691472">
        <w:t xml:space="preserve">character </w:t>
      </w:r>
      <w:r w:rsidR="002B5253" w:rsidRPr="0074460E">
        <w:t xml:space="preserve">expectations expressed under local policy, noting that </w:t>
      </w:r>
      <w:r w:rsidR="002B5253" w:rsidRPr="0074460E">
        <w:rPr>
          <w:i/>
          <w:iCs/>
        </w:rPr>
        <w:t>‘mixed use and apartments are to be expected.’</w:t>
      </w:r>
      <w:r w:rsidR="002B5253" w:rsidRPr="0074460E">
        <w:t xml:space="preserve">  It submits the GRZ7 makes provision for dwellings up to 3 storeys of 11.0m in height with a varied minimum front setback of 5.0m</w:t>
      </w:r>
      <w:r w:rsidR="00691472">
        <w:t xml:space="preserve"> and says the proposed development satisfies the height and front setback variations.  The applicant </w:t>
      </w:r>
      <w:r w:rsidR="002B5253" w:rsidRPr="0074460E">
        <w:t>says the area already contains numerous contemporary, large, single dwellings that are now prevalent and form part of the urban fabric of the area.  It also notes the materiality chosen for the development ‘</w:t>
      </w:r>
      <w:r w:rsidR="002B5253" w:rsidRPr="0074460E">
        <w:rPr>
          <w:i/>
          <w:iCs/>
        </w:rPr>
        <w:t>is reflective of render elements seen throughout new developments along Coleman Parade, as well within the aged care apartment development which provides a strong them</w:t>
      </w:r>
      <w:r w:rsidR="007C1026" w:rsidRPr="0074460E">
        <w:rPr>
          <w:i/>
          <w:iCs/>
        </w:rPr>
        <w:t>atic puncture within the streetscape.’</w:t>
      </w:r>
    </w:p>
    <w:p w:rsidR="00DC662B" w:rsidRPr="0074460E" w:rsidRDefault="007C1026" w:rsidP="007C1026">
      <w:pPr>
        <w:pStyle w:val="Para1"/>
      </w:pPr>
      <w:r w:rsidRPr="0074460E">
        <w:t xml:space="preserve">I accept the applicant’s observations that the area contains </w:t>
      </w:r>
      <w:r w:rsidR="00691472">
        <w:t>various</w:t>
      </w:r>
      <w:r w:rsidRPr="0074460E">
        <w:t xml:space="preserve"> large</w:t>
      </w:r>
      <w:r w:rsidR="00691472">
        <w:t>,</w:t>
      </w:r>
      <w:r w:rsidRPr="0074460E">
        <w:t xml:space="preserve"> single and </w:t>
      </w:r>
      <w:r w:rsidR="00691472">
        <w:t xml:space="preserve">double storey developments.  This includes </w:t>
      </w:r>
      <w:r w:rsidRPr="0074460E">
        <w:t xml:space="preserve">contemporary styled buildings, including apartment styled buildings nearby the review site.  However, I find the design response </w:t>
      </w:r>
      <w:r w:rsidR="00691472">
        <w:t xml:space="preserve">on the review site </w:t>
      </w:r>
      <w:r w:rsidRPr="0074460E">
        <w:t>has resulted in a scale and massing to the front and sides of the building that is not characteristic of the built form</w:t>
      </w:r>
      <w:r w:rsidR="00691472">
        <w:t xml:space="preserve"> and landscape settings</w:t>
      </w:r>
      <w:r w:rsidRPr="0074460E">
        <w:t xml:space="preserve"> I observed during my inspection.  </w:t>
      </w:r>
      <w:r w:rsidR="00691472">
        <w:t xml:space="preserve">This includes the </w:t>
      </w:r>
      <w:r w:rsidRPr="0074460E">
        <w:t>larger form</w:t>
      </w:r>
      <w:r w:rsidR="000B0A3F">
        <w:t>at,</w:t>
      </w:r>
      <w:r w:rsidRPr="0074460E">
        <w:t xml:space="preserve"> apartment style aged care complex fronting Coleman Parade, east of the review site</w:t>
      </w:r>
      <w:r w:rsidR="000B0A3F">
        <w:t xml:space="preserve">.  This complex </w:t>
      </w:r>
      <w:r w:rsidR="00F4065B" w:rsidRPr="0074460E">
        <w:t xml:space="preserve">is </w:t>
      </w:r>
      <w:r w:rsidRPr="0074460E">
        <w:t>set</w:t>
      </w:r>
      <w:r w:rsidR="00F4065B" w:rsidRPr="0074460E">
        <w:t xml:space="preserve"> </w:t>
      </w:r>
      <w:r w:rsidRPr="0074460E">
        <w:t>within a landscape</w:t>
      </w:r>
      <w:r w:rsidR="00F4065B" w:rsidRPr="0074460E">
        <w:t xml:space="preserve"> and ‘</w:t>
      </w:r>
      <w:r w:rsidR="000B0A3F">
        <w:t>open</w:t>
      </w:r>
      <w:r w:rsidR="00F4065B" w:rsidRPr="0074460E">
        <w:t xml:space="preserve"> style’</w:t>
      </w:r>
      <w:r w:rsidRPr="0074460E">
        <w:t xml:space="preserve"> setting that helps filter the views of the buildings from the public realm</w:t>
      </w:r>
      <w:r w:rsidR="000B0A3F">
        <w:t xml:space="preserve"> and provides ‘blue sky’ views between the respective buildings on the site</w:t>
      </w:r>
      <w:r w:rsidRPr="0074460E">
        <w:t xml:space="preserve">.  </w:t>
      </w:r>
    </w:p>
    <w:p w:rsidR="00F4065B" w:rsidRPr="0074460E" w:rsidRDefault="00DC662B" w:rsidP="007C1026">
      <w:pPr>
        <w:pStyle w:val="Para1"/>
      </w:pPr>
      <w:r w:rsidRPr="0074460E">
        <w:t>T</w:t>
      </w:r>
      <w:r w:rsidR="007C1026" w:rsidRPr="0074460E">
        <w:t xml:space="preserve">he design response </w:t>
      </w:r>
      <w:r w:rsidRPr="0074460E">
        <w:t xml:space="preserve">chosen for </w:t>
      </w:r>
      <w:r w:rsidR="007C1026" w:rsidRPr="0074460E">
        <w:t xml:space="preserve">the review site creates a continuous built form </w:t>
      </w:r>
      <w:r w:rsidRPr="0074460E">
        <w:t xml:space="preserve">that extends </w:t>
      </w:r>
      <w:r w:rsidR="007C1026" w:rsidRPr="0074460E">
        <w:t xml:space="preserve">over </w:t>
      </w:r>
      <w:r w:rsidR="00F4065B" w:rsidRPr="0074460E">
        <w:t xml:space="preserve">half of </w:t>
      </w:r>
      <w:r w:rsidR="007C1026" w:rsidRPr="0074460E">
        <w:t xml:space="preserve">the </w:t>
      </w:r>
      <w:r w:rsidRPr="0074460E">
        <w:t>fro</w:t>
      </w:r>
      <w:r w:rsidR="000B0A3F">
        <w:t>ntage</w:t>
      </w:r>
      <w:r w:rsidR="00F4065B" w:rsidRPr="0074460E">
        <w:t xml:space="preserve"> (approximately 10.7m</w:t>
      </w:r>
      <w:r w:rsidR="000B0A3F">
        <w:t xml:space="preserve"> of built form</w:t>
      </w:r>
      <w:r w:rsidR="00F4065B" w:rsidRPr="0074460E">
        <w:t>)</w:t>
      </w:r>
      <w:r w:rsidR="007C1026" w:rsidRPr="0074460E">
        <w:t xml:space="preserve"> </w:t>
      </w:r>
      <w:r w:rsidR="000B0A3F">
        <w:t xml:space="preserve">commencing with </w:t>
      </w:r>
      <w:r w:rsidR="007C1026" w:rsidRPr="0074460E">
        <w:t xml:space="preserve">built form </w:t>
      </w:r>
      <w:r w:rsidR="00F4065B" w:rsidRPr="0074460E">
        <w:t xml:space="preserve">placed </w:t>
      </w:r>
      <w:r w:rsidR="007C1026" w:rsidRPr="0074460E">
        <w:t>on the western boundary</w:t>
      </w:r>
      <w:r w:rsidRPr="0074460E">
        <w:t xml:space="preserve">.  This built form is </w:t>
      </w:r>
      <w:r w:rsidR="00F4065B" w:rsidRPr="0074460E">
        <w:t xml:space="preserve">then </w:t>
      </w:r>
      <w:r w:rsidRPr="0074460E">
        <w:t xml:space="preserve">added to </w:t>
      </w:r>
      <w:r w:rsidR="007C1026" w:rsidRPr="0074460E">
        <w:t>by the upper level cantil</w:t>
      </w:r>
      <w:r w:rsidRPr="0074460E">
        <w:t>ev</w:t>
      </w:r>
      <w:r w:rsidR="007C1026" w:rsidRPr="0074460E">
        <w:t>er form</w:t>
      </w:r>
      <w:r w:rsidRPr="0074460E">
        <w:t>s at first and second levels</w:t>
      </w:r>
      <w:r w:rsidR="00F4065B" w:rsidRPr="0074460E">
        <w:t>,</w:t>
      </w:r>
      <w:r w:rsidR="007C1026" w:rsidRPr="0074460E">
        <w:t xml:space="preserve"> </w:t>
      </w:r>
      <w:r w:rsidRPr="0074460E">
        <w:t xml:space="preserve">that </w:t>
      </w:r>
      <w:r w:rsidR="007C1026" w:rsidRPr="0074460E">
        <w:t>extend</w:t>
      </w:r>
      <w:r w:rsidR="00F4065B" w:rsidRPr="0074460E">
        <w:t>s</w:t>
      </w:r>
      <w:r w:rsidRPr="0074460E">
        <w:t xml:space="preserve"> out</w:t>
      </w:r>
      <w:r w:rsidR="007C1026" w:rsidRPr="0074460E">
        <w:t xml:space="preserve"> towards the eastern boundary</w:t>
      </w:r>
      <w:r w:rsidRPr="0074460E">
        <w:t xml:space="preserve"> of the site</w:t>
      </w:r>
      <w:r w:rsidR="00F4065B" w:rsidRPr="0074460E">
        <w:t xml:space="preserve"> to a minimum setback</w:t>
      </w:r>
      <w:r w:rsidR="000B0A3F">
        <w:t xml:space="preserve"> of </w:t>
      </w:r>
      <w:r w:rsidR="00F4065B" w:rsidRPr="0074460E">
        <w:t>2.0m (first floor)</w:t>
      </w:r>
      <w:r w:rsidRPr="0074460E">
        <w:t>.</w:t>
      </w:r>
      <w:r w:rsidR="00F4065B" w:rsidRPr="0074460E">
        <w:t xml:space="preserve">  This is not characteristic of the built form scale and landscape setting I </w:t>
      </w:r>
      <w:r w:rsidR="0074460E" w:rsidRPr="0074460E">
        <w:t>observed</w:t>
      </w:r>
      <w:r w:rsidR="00F4065B" w:rsidRPr="0074460E">
        <w:t xml:space="preserve"> in the area.   Nor is it characteristic of the ‘building in landscape’ form sought under local policy.</w:t>
      </w:r>
      <w:r w:rsidRPr="0074460E">
        <w:t xml:space="preserve"> </w:t>
      </w:r>
    </w:p>
    <w:p w:rsidR="007C1026" w:rsidRPr="0074460E" w:rsidRDefault="00DC662B" w:rsidP="007C1026">
      <w:pPr>
        <w:pStyle w:val="Para1"/>
      </w:pPr>
      <w:r w:rsidRPr="0074460E">
        <w:t>I accept the zone provides for a minimum 5.0m front setback</w:t>
      </w:r>
      <w:r w:rsidR="00F4065B" w:rsidRPr="0074460E">
        <w:t xml:space="preserve"> and the pr</w:t>
      </w:r>
      <w:r w:rsidR="00556007" w:rsidRPr="0074460E">
        <w:t>o</w:t>
      </w:r>
      <w:r w:rsidR="00F4065B" w:rsidRPr="0074460E">
        <w:t xml:space="preserve">posed development has provided this.  However, </w:t>
      </w:r>
      <w:r w:rsidRPr="0074460E">
        <w:t xml:space="preserve">I consider the extent of built form </w:t>
      </w:r>
      <w:r w:rsidR="00556007" w:rsidRPr="0074460E">
        <w:t xml:space="preserve">proposed </w:t>
      </w:r>
      <w:r w:rsidRPr="0074460E">
        <w:t>across the site to the street</w:t>
      </w:r>
      <w:r w:rsidR="00556007" w:rsidRPr="0074460E">
        <w:t xml:space="preserve">, </w:t>
      </w:r>
      <w:r w:rsidRPr="0074460E">
        <w:t>effectively negates th</w:t>
      </w:r>
      <w:r w:rsidR="000B0A3F">
        <w:t>e application of the</w:t>
      </w:r>
      <w:r w:rsidRPr="0074460E">
        <w:t xml:space="preserve"> minimum setback</w:t>
      </w:r>
      <w:r w:rsidR="00556007" w:rsidRPr="0074460E">
        <w:t xml:space="preserve">.  It </w:t>
      </w:r>
      <w:r w:rsidRPr="0074460E">
        <w:t xml:space="preserve">reduces the opportunity to place larger canopy trees within the </w:t>
      </w:r>
      <w:r w:rsidR="00556007" w:rsidRPr="0074460E">
        <w:t xml:space="preserve">front </w:t>
      </w:r>
      <w:r w:rsidRPr="0074460E">
        <w:t xml:space="preserve">setback </w:t>
      </w:r>
      <w:r w:rsidR="00556007" w:rsidRPr="0074460E">
        <w:t xml:space="preserve">that would </w:t>
      </w:r>
      <w:r w:rsidRPr="0074460E">
        <w:t xml:space="preserve">help screen this </w:t>
      </w:r>
      <w:r w:rsidR="00556007" w:rsidRPr="0074460E">
        <w:t xml:space="preserve">triple </w:t>
      </w:r>
      <w:r w:rsidR="0074460E" w:rsidRPr="0074460E">
        <w:t>storey-built</w:t>
      </w:r>
      <w:r w:rsidRPr="0074460E">
        <w:t xml:space="preserve"> form.  </w:t>
      </w:r>
    </w:p>
    <w:p w:rsidR="00556007" w:rsidRPr="0074460E" w:rsidRDefault="00DC662B" w:rsidP="007C1026">
      <w:pPr>
        <w:pStyle w:val="Para1"/>
      </w:pPr>
      <w:r w:rsidRPr="0074460E">
        <w:t>In addition, the</w:t>
      </w:r>
      <w:r w:rsidR="00556007" w:rsidRPr="0074460E">
        <w:t xml:space="preserve"> opportunity for</w:t>
      </w:r>
      <w:r w:rsidRPr="0074460E">
        <w:t xml:space="preserve"> side </w:t>
      </w:r>
      <w:r w:rsidR="00556007" w:rsidRPr="0074460E">
        <w:t xml:space="preserve">boundary </w:t>
      </w:r>
      <w:r w:rsidRPr="0074460E">
        <w:t xml:space="preserve">landscaping treatment is also </w:t>
      </w:r>
      <w:r w:rsidR="00556007" w:rsidRPr="0074460E">
        <w:t>reduced</w:t>
      </w:r>
      <w:r w:rsidRPr="0074460E">
        <w:t>, larg</w:t>
      </w:r>
      <w:r w:rsidR="00F4065B" w:rsidRPr="0074460E">
        <w:t>e</w:t>
      </w:r>
      <w:r w:rsidRPr="0074460E">
        <w:t>l</w:t>
      </w:r>
      <w:r w:rsidR="00F4065B" w:rsidRPr="0074460E">
        <w:t>y</w:t>
      </w:r>
      <w:r w:rsidRPr="0074460E">
        <w:t xml:space="preserve"> due to the</w:t>
      </w:r>
      <w:r w:rsidR="00F4065B" w:rsidRPr="0074460E">
        <w:t xml:space="preserve"> combined use of on</w:t>
      </w:r>
      <w:r w:rsidR="00556007" w:rsidRPr="0074460E">
        <w:t>-</w:t>
      </w:r>
      <w:r w:rsidR="00F4065B" w:rsidRPr="0074460E">
        <w:t>boundary</w:t>
      </w:r>
      <w:r w:rsidR="00556007" w:rsidRPr="0074460E">
        <w:t xml:space="preserve"> built form along the western boundary and cantilevered built form at first and second levels extending towards the eastern boundary.  This design treatment significantly reduces the opportunity for meaningful landscaping along these side boundaries.</w:t>
      </w:r>
    </w:p>
    <w:p w:rsidR="00556007" w:rsidRPr="0074460E" w:rsidRDefault="00404CB7" w:rsidP="007C1026">
      <w:pPr>
        <w:pStyle w:val="Para1"/>
      </w:pPr>
      <w:r>
        <w:rPr>
          <w:noProof/>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6" name="VCAT Seal14"/>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56007" w:rsidRPr="0074460E">
        <w:t xml:space="preserve">The design response also results in continuous built form extending down the site </w:t>
      </w:r>
      <w:r w:rsidR="005A6D70" w:rsidRPr="0074460E">
        <w:t xml:space="preserve">along the east elevation </w:t>
      </w:r>
      <w:r w:rsidR="00556007" w:rsidRPr="0074460E">
        <w:t xml:space="preserve">with </w:t>
      </w:r>
      <w:r w:rsidR="005A6D70" w:rsidRPr="0074460E">
        <w:t xml:space="preserve">no </w:t>
      </w:r>
      <w:r w:rsidR="00556007" w:rsidRPr="0074460E">
        <w:t>visual break or ‘blue sky’ opportunity between the respective dwellings at upper levels</w:t>
      </w:r>
      <w:r w:rsidR="005A6D70" w:rsidRPr="0074460E">
        <w:t xml:space="preserve"> along this boundary</w:t>
      </w:r>
      <w:r w:rsidR="00556007" w:rsidRPr="0074460E">
        <w:t>.  The design includes separation</w:t>
      </w:r>
      <w:r w:rsidR="000B0A3F">
        <w:t>s</w:t>
      </w:r>
      <w:r w:rsidR="00556007" w:rsidRPr="0074460E">
        <w:t xml:space="preserve"> between </w:t>
      </w:r>
      <w:r w:rsidR="005A6D70" w:rsidRPr="0074460E">
        <w:t xml:space="preserve">the upper levels of </w:t>
      </w:r>
      <w:r w:rsidR="00556007" w:rsidRPr="0074460E">
        <w:t xml:space="preserve">Dwellings </w:t>
      </w:r>
      <w:r w:rsidR="005A6D70" w:rsidRPr="0074460E">
        <w:t>1 and 2 and Dwellings 2 and 3</w:t>
      </w:r>
      <w:r w:rsidR="000B0A3F">
        <w:t xml:space="preserve"> along its western elevation</w:t>
      </w:r>
      <w:r w:rsidR="005A6D70" w:rsidRPr="0074460E">
        <w:t>.  However</w:t>
      </w:r>
      <w:r w:rsidR="000B0A3F">
        <w:t>,</w:t>
      </w:r>
      <w:r w:rsidR="005A6D70" w:rsidRPr="0074460E">
        <w:t xml:space="preserve"> this separation is less than 1.0m in width</w:t>
      </w:r>
      <w:r w:rsidR="000B0A3F">
        <w:t>.  F</w:t>
      </w:r>
      <w:r w:rsidR="005A6D70" w:rsidRPr="0074460E">
        <w:t xml:space="preserve">rom a visual perspective, </w:t>
      </w:r>
      <w:r w:rsidR="000B0A3F">
        <w:t xml:space="preserve">I do not consider this </w:t>
      </w:r>
      <w:r w:rsidR="005A6D70" w:rsidRPr="0074460E">
        <w:t>will</w:t>
      </w:r>
      <w:r w:rsidR="000B0A3F">
        <w:t xml:space="preserve"> </w:t>
      </w:r>
      <w:r w:rsidR="005A6D70" w:rsidRPr="0074460E">
        <w:t xml:space="preserve">achieve any </w:t>
      </w:r>
      <w:r w:rsidR="000B0A3F">
        <w:t xml:space="preserve">significant </w:t>
      </w:r>
      <w:r w:rsidR="005A6D70" w:rsidRPr="0074460E">
        <w:t xml:space="preserve">visual relief </w:t>
      </w:r>
      <w:r w:rsidR="000B0A3F">
        <w:t xml:space="preserve">of the triple storey form </w:t>
      </w:r>
      <w:r w:rsidR="005A6D70" w:rsidRPr="0074460E">
        <w:t>when viewed along this side boundary or from the public realm.</w:t>
      </w:r>
      <w:r w:rsidR="00556007" w:rsidRPr="0074460E">
        <w:t xml:space="preserve">  </w:t>
      </w:r>
    </w:p>
    <w:p w:rsidR="00DC662B" w:rsidRPr="0074460E" w:rsidRDefault="00556007" w:rsidP="007C1026">
      <w:pPr>
        <w:pStyle w:val="Para1"/>
      </w:pPr>
      <w:r w:rsidRPr="0074460E">
        <w:t>I find th</w:t>
      </w:r>
      <w:r w:rsidR="000B0A3F">
        <w:t>e</w:t>
      </w:r>
      <w:r w:rsidRPr="0074460E">
        <w:t xml:space="preserve"> design approach </w:t>
      </w:r>
      <w:r w:rsidR="000B0A3F">
        <w:t xml:space="preserve">does not </w:t>
      </w:r>
      <w:r w:rsidRPr="0074460E">
        <w:t xml:space="preserve">achieve an important policy setting </w:t>
      </w:r>
      <w:r w:rsidR="005A6D70" w:rsidRPr="0074460E">
        <w:t xml:space="preserve">that seeks to place </w:t>
      </w:r>
      <w:r w:rsidRPr="0074460E">
        <w:t>new built form</w:t>
      </w:r>
      <w:r w:rsidR="005A6D70" w:rsidRPr="0074460E">
        <w:t xml:space="preserve"> </w:t>
      </w:r>
      <w:r w:rsidRPr="0074460E">
        <w:t>within a landscape and garden setting</w:t>
      </w:r>
      <w:r w:rsidR="005A6D70" w:rsidRPr="0074460E">
        <w:t xml:space="preserve"> environment.  I consider the visual bulk of the proposal to the streetscape and site’s residential interfaces along the east and western boundary is unacceptable and </w:t>
      </w:r>
      <w:r w:rsidR="008D2D65">
        <w:t>in</w:t>
      </w:r>
      <w:r w:rsidR="005A6D70" w:rsidRPr="0074460E">
        <w:t>consistent with landscape character and garden city</w:t>
      </w:r>
      <w:r w:rsidR="008D2D65">
        <w:t xml:space="preserve"> </w:t>
      </w:r>
      <w:r w:rsidR="005A6D70" w:rsidRPr="0074460E">
        <w:t>policy settings I have outlined above.</w:t>
      </w:r>
    </w:p>
    <w:p w:rsidR="00BF3D2F" w:rsidRPr="0074460E" w:rsidRDefault="009A49D7" w:rsidP="00E200CF">
      <w:pPr>
        <w:pStyle w:val="Heading2"/>
      </w:pPr>
      <w:r w:rsidRPr="0074460E">
        <w:t>Will the proposal result in unreasonable amenity impacts?</w:t>
      </w:r>
    </w:p>
    <w:p w:rsidR="000B5E4C" w:rsidRPr="0074460E" w:rsidRDefault="000B5E4C" w:rsidP="00F72E28">
      <w:pPr>
        <w:pStyle w:val="Para1"/>
        <w:rPr>
          <w:lang w:eastAsia="en-AU"/>
        </w:rPr>
      </w:pPr>
      <w:r w:rsidRPr="0074460E">
        <w:rPr>
          <w:lang w:eastAsia="en-AU"/>
        </w:rPr>
        <w:t>GRZ7 Decision Guidelines require amongst other matters, consideration of the following design outcomes:</w:t>
      </w:r>
    </w:p>
    <w:p w:rsidR="000B5E4C" w:rsidRPr="0074460E" w:rsidRDefault="000B5E4C" w:rsidP="000B5E4C">
      <w:pPr>
        <w:pStyle w:val="Quote3"/>
        <w:rPr>
          <w:lang w:eastAsia="en-AU"/>
        </w:rPr>
      </w:pPr>
      <w:r w:rsidRPr="0074460E">
        <w:rPr>
          <w:lang w:eastAsia="en-AU"/>
        </w:rPr>
        <w:t xml:space="preserve">Whether the </w:t>
      </w:r>
      <w:r w:rsidRPr="0074460E">
        <w:rPr>
          <w:u w:val="single"/>
          <w:lang w:eastAsia="en-AU"/>
        </w:rPr>
        <w:t>building retains human scale</w:t>
      </w:r>
      <w:r w:rsidRPr="0074460E">
        <w:rPr>
          <w:lang w:eastAsia="en-AU"/>
        </w:rPr>
        <w:t xml:space="preserve"> and, by the inclusion of </w:t>
      </w:r>
      <w:r w:rsidRPr="0074460E">
        <w:rPr>
          <w:u w:val="single"/>
          <w:lang w:eastAsia="en-AU"/>
        </w:rPr>
        <w:t>significant breaks and recesses in building massing</w:t>
      </w:r>
      <w:r w:rsidRPr="0074460E">
        <w:rPr>
          <w:lang w:eastAsia="en-AU"/>
        </w:rPr>
        <w:t xml:space="preserve">, is designed to </w:t>
      </w:r>
      <w:r w:rsidRPr="0074460E">
        <w:rPr>
          <w:u w:val="single"/>
          <w:lang w:eastAsia="en-AU"/>
        </w:rPr>
        <w:t>avoid large block like structures</w:t>
      </w:r>
      <w:r w:rsidRPr="0074460E">
        <w:rPr>
          <w:lang w:eastAsia="en-AU"/>
        </w:rPr>
        <w:t xml:space="preserve"> dominating the streetscape.</w:t>
      </w:r>
    </w:p>
    <w:p w:rsidR="000B5E4C" w:rsidRPr="0074460E" w:rsidRDefault="000B5E4C" w:rsidP="000B5E4C">
      <w:pPr>
        <w:pStyle w:val="Quote3"/>
        <w:rPr>
          <w:lang w:eastAsia="en-AU"/>
        </w:rPr>
      </w:pPr>
      <w:r w:rsidRPr="0074460E">
        <w:rPr>
          <w:u w:val="single"/>
          <w:lang w:eastAsia="en-AU"/>
        </w:rPr>
        <w:t>Whether the development minimises the impact to neighbouring properties, through suitable setbacks</w:t>
      </w:r>
      <w:r w:rsidRPr="0074460E">
        <w:rPr>
          <w:lang w:eastAsia="en-AU"/>
        </w:rPr>
        <w:t xml:space="preserve"> from adjacent secluded private open space to enable the provision of screening trees, and scaling down of building form to the adjoining properties.</w:t>
      </w:r>
    </w:p>
    <w:p w:rsidR="002D22B5" w:rsidRPr="0074460E" w:rsidRDefault="002D22B5" w:rsidP="002D22B5">
      <w:pPr>
        <w:pStyle w:val="Para2"/>
        <w:rPr>
          <w:lang w:eastAsia="en-AU"/>
        </w:rPr>
      </w:pPr>
      <w:r w:rsidRPr="0074460E">
        <w:rPr>
          <w:lang w:eastAsia="en-AU"/>
        </w:rPr>
        <w:t>(Tribunal emphasis added)</w:t>
      </w:r>
    </w:p>
    <w:p w:rsidR="00985A2B" w:rsidRDefault="000B5E4C" w:rsidP="00985A2B">
      <w:pPr>
        <w:pStyle w:val="Para1"/>
        <w:rPr>
          <w:lang w:eastAsia="en-AU"/>
        </w:rPr>
      </w:pPr>
      <w:r w:rsidRPr="0074460E">
        <w:rPr>
          <w:lang w:eastAsia="en-AU"/>
        </w:rPr>
        <w:t xml:space="preserve">An important </w:t>
      </w:r>
      <w:r w:rsidR="009443D0" w:rsidRPr="0074460E">
        <w:rPr>
          <w:lang w:eastAsia="en-AU"/>
        </w:rPr>
        <w:t>design outcome</w:t>
      </w:r>
      <w:r w:rsidR="00F72E28" w:rsidRPr="0074460E">
        <w:rPr>
          <w:lang w:eastAsia="en-AU"/>
        </w:rPr>
        <w:t xml:space="preserve"> </w:t>
      </w:r>
      <w:r w:rsidR="008D2D65">
        <w:rPr>
          <w:lang w:eastAsia="en-AU"/>
        </w:rPr>
        <w:t xml:space="preserve">achieved through </w:t>
      </w:r>
      <w:r w:rsidR="009443D0" w:rsidRPr="0074460E">
        <w:rPr>
          <w:lang w:eastAsia="en-AU"/>
        </w:rPr>
        <w:t xml:space="preserve">front, side and rear </w:t>
      </w:r>
      <w:r w:rsidR="00F72E28" w:rsidRPr="0074460E">
        <w:rPr>
          <w:lang w:eastAsia="en-AU"/>
        </w:rPr>
        <w:t xml:space="preserve">setbacks </w:t>
      </w:r>
      <w:r w:rsidR="009443D0" w:rsidRPr="0074460E">
        <w:rPr>
          <w:lang w:eastAsia="en-AU"/>
        </w:rPr>
        <w:t xml:space="preserve">is the opportunity to add </w:t>
      </w:r>
      <w:r w:rsidR="00F72E28" w:rsidRPr="0074460E">
        <w:rPr>
          <w:lang w:eastAsia="en-AU"/>
        </w:rPr>
        <w:t xml:space="preserve">landscaping </w:t>
      </w:r>
      <w:r w:rsidRPr="0074460E">
        <w:rPr>
          <w:lang w:eastAsia="en-AU"/>
        </w:rPr>
        <w:t>treatment</w:t>
      </w:r>
      <w:r w:rsidR="009443D0" w:rsidRPr="0074460E">
        <w:rPr>
          <w:lang w:eastAsia="en-AU"/>
        </w:rPr>
        <w:t xml:space="preserve"> within these areas that help</w:t>
      </w:r>
      <w:r w:rsidR="008D2D65">
        <w:rPr>
          <w:lang w:eastAsia="en-AU"/>
        </w:rPr>
        <w:t>s</w:t>
      </w:r>
      <w:r w:rsidR="009443D0" w:rsidRPr="0074460E">
        <w:rPr>
          <w:lang w:eastAsia="en-AU"/>
        </w:rPr>
        <w:t xml:space="preserve"> </w:t>
      </w:r>
      <w:r w:rsidR="00F72E28" w:rsidRPr="0074460E">
        <w:rPr>
          <w:lang w:eastAsia="en-AU"/>
        </w:rPr>
        <w:t>soften built form</w:t>
      </w:r>
      <w:r w:rsidR="008D2D65">
        <w:rPr>
          <w:lang w:eastAsia="en-AU"/>
        </w:rPr>
        <w:t xml:space="preserve">.  Particularly where this built form is quite large and </w:t>
      </w:r>
      <w:r w:rsidR="00F72E28" w:rsidRPr="0074460E">
        <w:rPr>
          <w:lang w:eastAsia="en-AU"/>
        </w:rPr>
        <w:t>presents</w:t>
      </w:r>
      <w:r w:rsidR="008D2D65">
        <w:rPr>
          <w:lang w:eastAsia="en-AU"/>
        </w:rPr>
        <w:t xml:space="preserve"> directly</w:t>
      </w:r>
      <w:r w:rsidR="00F72E28" w:rsidRPr="0074460E">
        <w:rPr>
          <w:lang w:eastAsia="en-AU"/>
        </w:rPr>
        <w:t xml:space="preserve"> to </w:t>
      </w:r>
      <w:r w:rsidR="009443D0" w:rsidRPr="0074460E">
        <w:rPr>
          <w:lang w:eastAsia="en-AU"/>
        </w:rPr>
        <w:t xml:space="preserve">the public ream and to </w:t>
      </w:r>
      <w:r w:rsidR="00F72E28" w:rsidRPr="0074460E">
        <w:rPr>
          <w:lang w:eastAsia="en-AU"/>
        </w:rPr>
        <w:t xml:space="preserve">sensitive outdoor living areas of adjoining properties. The proposed </w:t>
      </w:r>
      <w:r w:rsidR="002D22B5" w:rsidRPr="0074460E">
        <w:rPr>
          <w:lang w:eastAsia="en-AU"/>
        </w:rPr>
        <w:t>service yards along the western boundary</w:t>
      </w:r>
      <w:r w:rsidR="009443D0" w:rsidRPr="0074460E">
        <w:rPr>
          <w:lang w:eastAsia="en-AU"/>
        </w:rPr>
        <w:t xml:space="preserve"> </w:t>
      </w:r>
      <w:r w:rsidR="00985A2B">
        <w:rPr>
          <w:lang w:eastAsia="en-AU"/>
        </w:rPr>
        <w:t xml:space="preserve">of the review site </w:t>
      </w:r>
      <w:r w:rsidR="002D22B5" w:rsidRPr="0074460E">
        <w:rPr>
          <w:lang w:eastAsia="en-AU"/>
        </w:rPr>
        <w:t xml:space="preserve">are </w:t>
      </w:r>
      <w:r w:rsidR="00A93055" w:rsidRPr="0074460E">
        <w:rPr>
          <w:lang w:eastAsia="en-AU"/>
        </w:rPr>
        <w:t xml:space="preserve">in my view </w:t>
      </w:r>
      <w:r w:rsidR="002D22B5" w:rsidRPr="0074460E">
        <w:rPr>
          <w:lang w:eastAsia="en-AU"/>
        </w:rPr>
        <w:t>in</w:t>
      </w:r>
      <w:r w:rsidR="00F72E28" w:rsidRPr="0074460E">
        <w:rPr>
          <w:lang w:eastAsia="en-AU"/>
        </w:rPr>
        <w:t>adequate to accommodate the</w:t>
      </w:r>
      <w:r w:rsidR="00A93055" w:rsidRPr="0074460E">
        <w:rPr>
          <w:lang w:eastAsia="en-AU"/>
        </w:rPr>
        <w:t xml:space="preserve"> </w:t>
      </w:r>
      <w:r w:rsidR="00F72E28" w:rsidRPr="0074460E">
        <w:rPr>
          <w:lang w:eastAsia="en-AU"/>
        </w:rPr>
        <w:t>landscaping</w:t>
      </w:r>
      <w:r w:rsidR="00A93055" w:rsidRPr="0074460E">
        <w:rPr>
          <w:lang w:eastAsia="en-AU"/>
        </w:rPr>
        <w:t xml:space="preserve"> treatment and </w:t>
      </w:r>
      <w:r w:rsidR="008D2D65">
        <w:rPr>
          <w:lang w:eastAsia="en-AU"/>
        </w:rPr>
        <w:t xml:space="preserve">larger </w:t>
      </w:r>
      <w:r w:rsidR="00A93055" w:rsidRPr="0074460E">
        <w:rPr>
          <w:lang w:eastAsia="en-AU"/>
        </w:rPr>
        <w:t>canopy trees</w:t>
      </w:r>
      <w:r w:rsidR="00F72E28" w:rsidRPr="0074460E">
        <w:rPr>
          <w:lang w:eastAsia="en-AU"/>
        </w:rPr>
        <w:t xml:space="preserve"> necessary</w:t>
      </w:r>
      <w:r w:rsidR="002D22B5" w:rsidRPr="0074460E">
        <w:rPr>
          <w:lang w:eastAsia="en-AU"/>
        </w:rPr>
        <w:t xml:space="preserve"> </w:t>
      </w:r>
      <w:r w:rsidR="00F72E28" w:rsidRPr="0074460E">
        <w:rPr>
          <w:lang w:eastAsia="en-AU"/>
        </w:rPr>
        <w:t xml:space="preserve">to screen and soften the appearance of the </w:t>
      </w:r>
      <w:r w:rsidR="008D2D65">
        <w:rPr>
          <w:lang w:eastAsia="en-AU"/>
        </w:rPr>
        <w:t xml:space="preserve">triple storey </w:t>
      </w:r>
      <w:r w:rsidR="00F72E28" w:rsidRPr="0074460E">
        <w:rPr>
          <w:lang w:eastAsia="en-AU"/>
        </w:rPr>
        <w:t>development</w:t>
      </w:r>
      <w:r w:rsidR="00985A2B">
        <w:rPr>
          <w:lang w:eastAsia="en-AU"/>
        </w:rPr>
        <w:t xml:space="preserve"> along this elevation</w:t>
      </w:r>
      <w:r w:rsidR="00F72E28" w:rsidRPr="0074460E">
        <w:rPr>
          <w:lang w:eastAsia="en-AU"/>
        </w:rPr>
        <w:t>.</w:t>
      </w:r>
      <w:r w:rsidR="00985A2B">
        <w:rPr>
          <w:lang w:eastAsia="en-AU"/>
        </w:rPr>
        <w:t xml:space="preserve">  </w:t>
      </w:r>
      <w:r w:rsidR="002D22B5" w:rsidRPr="0074460E">
        <w:rPr>
          <w:lang w:eastAsia="en-AU"/>
        </w:rPr>
        <w:t>I</w:t>
      </w:r>
      <w:r w:rsidR="009443D0" w:rsidRPr="0074460E">
        <w:rPr>
          <w:lang w:eastAsia="en-AU"/>
        </w:rPr>
        <w:t xml:space="preserve"> am also </w:t>
      </w:r>
      <w:r w:rsidR="002D22B5" w:rsidRPr="0074460E">
        <w:rPr>
          <w:lang w:eastAsia="en-AU"/>
        </w:rPr>
        <w:t xml:space="preserve">concerned with the </w:t>
      </w:r>
      <w:r w:rsidR="00A93055" w:rsidRPr="0074460E">
        <w:rPr>
          <w:lang w:eastAsia="en-AU"/>
        </w:rPr>
        <w:t xml:space="preserve">design </w:t>
      </w:r>
      <w:r w:rsidR="009443D0" w:rsidRPr="0074460E">
        <w:rPr>
          <w:lang w:eastAsia="en-AU"/>
        </w:rPr>
        <w:t>approach</w:t>
      </w:r>
      <w:r w:rsidR="00A93055" w:rsidRPr="0074460E">
        <w:rPr>
          <w:lang w:eastAsia="en-AU"/>
        </w:rPr>
        <w:t xml:space="preserve"> proposed</w:t>
      </w:r>
      <w:r w:rsidR="002D22B5" w:rsidRPr="0074460E">
        <w:rPr>
          <w:lang w:eastAsia="en-AU"/>
        </w:rPr>
        <w:t xml:space="preserve"> along the eastern boundary</w:t>
      </w:r>
      <w:r w:rsidR="00A93055" w:rsidRPr="0074460E">
        <w:rPr>
          <w:lang w:eastAsia="en-AU"/>
        </w:rPr>
        <w:t xml:space="preserve"> that includes a </w:t>
      </w:r>
      <w:r w:rsidR="0074460E" w:rsidRPr="0074460E">
        <w:rPr>
          <w:lang w:eastAsia="en-AU"/>
        </w:rPr>
        <w:t>cantilever-built</w:t>
      </w:r>
      <w:r w:rsidR="002D22B5" w:rsidRPr="0074460E">
        <w:rPr>
          <w:lang w:eastAsia="en-AU"/>
        </w:rPr>
        <w:t xml:space="preserve"> form</w:t>
      </w:r>
      <w:r w:rsidR="00A93055" w:rsidRPr="0074460E">
        <w:rPr>
          <w:lang w:eastAsia="en-AU"/>
        </w:rPr>
        <w:t xml:space="preserve"> at first floor,</w:t>
      </w:r>
      <w:r w:rsidR="002D22B5" w:rsidRPr="0074460E">
        <w:rPr>
          <w:lang w:eastAsia="en-AU"/>
        </w:rPr>
        <w:t xml:space="preserve"> </w:t>
      </w:r>
      <w:r w:rsidR="008D2D65">
        <w:rPr>
          <w:lang w:eastAsia="en-AU"/>
        </w:rPr>
        <w:t xml:space="preserve">located </w:t>
      </w:r>
      <w:r w:rsidR="002D22B5" w:rsidRPr="0074460E">
        <w:rPr>
          <w:lang w:eastAsia="en-AU"/>
        </w:rPr>
        <w:t xml:space="preserve">2.0m from that particular boundary.  </w:t>
      </w:r>
    </w:p>
    <w:p w:rsidR="008D2D65" w:rsidRDefault="00985A2B" w:rsidP="00985A2B">
      <w:pPr>
        <w:pStyle w:val="Para1"/>
        <w:rPr>
          <w:lang w:eastAsia="en-AU"/>
        </w:rPr>
      </w:pPr>
      <w:r>
        <w:rPr>
          <w:lang w:eastAsia="en-AU"/>
        </w:rPr>
        <w:t>I find t</w:t>
      </w:r>
      <w:r w:rsidR="00A93055" w:rsidRPr="0074460E">
        <w:rPr>
          <w:lang w:eastAsia="en-AU"/>
        </w:rPr>
        <w:t>he resulting side setback</w:t>
      </w:r>
      <w:r>
        <w:rPr>
          <w:lang w:eastAsia="en-AU"/>
        </w:rPr>
        <w:t>s</w:t>
      </w:r>
      <w:r w:rsidR="00A93055" w:rsidRPr="0074460E">
        <w:rPr>
          <w:lang w:eastAsia="en-AU"/>
        </w:rPr>
        <w:t xml:space="preserve"> </w:t>
      </w:r>
      <w:r>
        <w:rPr>
          <w:lang w:eastAsia="en-AU"/>
        </w:rPr>
        <w:t xml:space="preserve">are </w:t>
      </w:r>
      <w:r w:rsidR="008D2D65">
        <w:rPr>
          <w:lang w:eastAsia="en-AU"/>
        </w:rPr>
        <w:t xml:space="preserve">too </w:t>
      </w:r>
      <w:r w:rsidR="00A93055" w:rsidRPr="0074460E">
        <w:rPr>
          <w:lang w:eastAsia="en-AU"/>
        </w:rPr>
        <w:t>narrow</w:t>
      </w:r>
      <w:r w:rsidR="00BA4EFE" w:rsidRPr="0074460E">
        <w:rPr>
          <w:lang w:eastAsia="en-AU"/>
        </w:rPr>
        <w:t xml:space="preserve"> </w:t>
      </w:r>
      <w:r w:rsidR="008D2D65">
        <w:rPr>
          <w:lang w:eastAsia="en-AU"/>
        </w:rPr>
        <w:t xml:space="preserve">and restricted by </w:t>
      </w:r>
      <w:r>
        <w:rPr>
          <w:lang w:eastAsia="en-AU"/>
        </w:rPr>
        <w:t xml:space="preserve">either </w:t>
      </w:r>
      <w:r w:rsidR="008D2D65">
        <w:rPr>
          <w:lang w:eastAsia="en-AU"/>
        </w:rPr>
        <w:t xml:space="preserve">on-boundary and upper level-built form that </w:t>
      </w:r>
      <w:r w:rsidR="00BA4EFE" w:rsidRPr="0074460E">
        <w:rPr>
          <w:lang w:eastAsia="en-AU"/>
        </w:rPr>
        <w:t>will not</w:t>
      </w:r>
      <w:r w:rsidR="00A93055" w:rsidRPr="0074460E">
        <w:rPr>
          <w:lang w:eastAsia="en-AU"/>
        </w:rPr>
        <w:t xml:space="preserve"> enable any substantial </w:t>
      </w:r>
      <w:r w:rsidR="00BA4EFE" w:rsidRPr="0074460E">
        <w:rPr>
          <w:lang w:eastAsia="en-AU"/>
        </w:rPr>
        <w:t xml:space="preserve">or meaningful </w:t>
      </w:r>
      <w:r w:rsidR="00A93055" w:rsidRPr="0074460E">
        <w:rPr>
          <w:lang w:eastAsia="en-AU"/>
        </w:rPr>
        <w:t>tree canopy planting</w:t>
      </w:r>
      <w:r w:rsidR="00BA4EFE" w:rsidRPr="0074460E">
        <w:rPr>
          <w:lang w:eastAsia="en-AU"/>
        </w:rPr>
        <w:t xml:space="preserve"> along these boundaries</w:t>
      </w:r>
      <w:r w:rsidR="00A93055" w:rsidRPr="0074460E">
        <w:rPr>
          <w:lang w:eastAsia="en-AU"/>
        </w:rPr>
        <w:t>.</w:t>
      </w:r>
      <w:r w:rsidR="008D2D65">
        <w:rPr>
          <w:lang w:eastAsia="en-AU"/>
        </w:rPr>
        <w:t xml:space="preserve">  </w:t>
      </w:r>
      <w:r w:rsidR="00BA4EFE" w:rsidRPr="0074460E">
        <w:rPr>
          <w:lang w:eastAsia="en-AU"/>
        </w:rPr>
        <w:t>I consider this is a lost opportunity</w:t>
      </w:r>
      <w:r w:rsidR="009443D0" w:rsidRPr="0074460E">
        <w:rPr>
          <w:lang w:eastAsia="en-AU"/>
        </w:rPr>
        <w:t xml:space="preserve"> on the review site</w:t>
      </w:r>
      <w:r w:rsidR="00BA4EFE" w:rsidRPr="0074460E">
        <w:rPr>
          <w:lang w:eastAsia="en-AU"/>
        </w:rPr>
        <w:t xml:space="preserve">, particularly given </w:t>
      </w:r>
      <w:r w:rsidR="00A93055" w:rsidRPr="0074460E">
        <w:rPr>
          <w:lang w:eastAsia="en-AU"/>
        </w:rPr>
        <w:t xml:space="preserve">the </w:t>
      </w:r>
      <w:r w:rsidR="008D2D65">
        <w:rPr>
          <w:lang w:eastAsia="en-AU"/>
        </w:rPr>
        <w:t xml:space="preserve">extent of </w:t>
      </w:r>
      <w:r w:rsidR="00A93055" w:rsidRPr="0074460E">
        <w:rPr>
          <w:lang w:eastAsia="en-AU"/>
        </w:rPr>
        <w:t xml:space="preserve">triple storey form proposed </w:t>
      </w:r>
      <w:r w:rsidR="00BA4EFE" w:rsidRPr="0074460E">
        <w:rPr>
          <w:lang w:eastAsia="en-AU"/>
        </w:rPr>
        <w:t xml:space="preserve">down a large </w:t>
      </w:r>
      <w:r w:rsidR="008D2D65">
        <w:rPr>
          <w:lang w:eastAsia="en-AU"/>
        </w:rPr>
        <w:t>section of</w:t>
      </w:r>
      <w:r w:rsidR="00BA4EFE" w:rsidRPr="0074460E">
        <w:rPr>
          <w:lang w:eastAsia="en-AU"/>
        </w:rPr>
        <w:t xml:space="preserve"> </w:t>
      </w:r>
      <w:r w:rsidR="009443D0" w:rsidRPr="0074460E">
        <w:rPr>
          <w:lang w:eastAsia="en-AU"/>
        </w:rPr>
        <w:t>both these</w:t>
      </w:r>
      <w:r w:rsidR="008D2D65">
        <w:rPr>
          <w:lang w:eastAsia="en-AU"/>
        </w:rPr>
        <w:t xml:space="preserve"> </w:t>
      </w:r>
      <w:r w:rsidR="00BA4EFE" w:rsidRPr="0074460E">
        <w:rPr>
          <w:lang w:eastAsia="en-AU"/>
        </w:rPr>
        <w:t xml:space="preserve">boundaries.  </w:t>
      </w:r>
    </w:p>
    <w:p w:rsidR="00F72E28" w:rsidRPr="0074460E" w:rsidRDefault="00404CB7" w:rsidP="008D2D65">
      <w:pPr>
        <w:pStyle w:val="Para1"/>
        <w:rPr>
          <w:lang w:eastAsia="en-AU"/>
        </w:rPr>
      </w:pPr>
      <w:r>
        <w:rPr>
          <w:noProof/>
          <w:lang w:eastAsia="en-AU"/>
        </w:rPr>
        <w:lastRenderedPageBreak/>
        <w:drawing>
          <wp:anchor distT="0" distB="0" distL="114300" distR="114300" simplePos="0" relativeHeight="2516725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7" name="VCAT Seal15"/>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93055" w:rsidRPr="0074460E">
        <w:rPr>
          <w:lang w:eastAsia="en-AU"/>
        </w:rPr>
        <w:t xml:space="preserve">I </w:t>
      </w:r>
      <w:r w:rsidR="009443D0" w:rsidRPr="0074460E">
        <w:rPr>
          <w:lang w:eastAsia="en-AU"/>
        </w:rPr>
        <w:t>find</w:t>
      </w:r>
      <w:r w:rsidR="00A93055" w:rsidRPr="0074460E">
        <w:rPr>
          <w:lang w:eastAsia="en-AU"/>
        </w:rPr>
        <w:t xml:space="preserve"> this </w:t>
      </w:r>
      <w:r w:rsidR="009443D0" w:rsidRPr="0074460E">
        <w:rPr>
          <w:lang w:eastAsia="en-AU"/>
        </w:rPr>
        <w:t xml:space="preserve">built form </w:t>
      </w:r>
      <w:r w:rsidR="00F72E28" w:rsidRPr="0074460E">
        <w:rPr>
          <w:lang w:eastAsia="en-AU"/>
        </w:rPr>
        <w:t>will present unreasonable visual bulk to the neighbouring</w:t>
      </w:r>
      <w:r w:rsidR="002D22B5" w:rsidRPr="0074460E">
        <w:rPr>
          <w:lang w:eastAsia="en-AU"/>
        </w:rPr>
        <w:t xml:space="preserve"> properties</w:t>
      </w:r>
      <w:r w:rsidR="00F72E28" w:rsidRPr="0074460E">
        <w:rPr>
          <w:lang w:eastAsia="en-AU"/>
        </w:rPr>
        <w:t xml:space="preserve">, to the detriment of </w:t>
      </w:r>
      <w:r w:rsidR="002D22B5" w:rsidRPr="0074460E">
        <w:rPr>
          <w:lang w:eastAsia="en-AU"/>
        </w:rPr>
        <w:t xml:space="preserve">their </w:t>
      </w:r>
      <w:r w:rsidR="00F72E28" w:rsidRPr="0074460E">
        <w:rPr>
          <w:lang w:eastAsia="en-AU"/>
        </w:rPr>
        <w:t>amenity</w:t>
      </w:r>
      <w:r w:rsidR="002D22B5" w:rsidRPr="0074460E">
        <w:rPr>
          <w:lang w:eastAsia="en-AU"/>
        </w:rPr>
        <w:t xml:space="preserve"> and outlook</w:t>
      </w:r>
      <w:r w:rsidR="00F72E28" w:rsidRPr="0074460E">
        <w:rPr>
          <w:lang w:eastAsia="en-AU"/>
        </w:rPr>
        <w:t xml:space="preserve">. </w:t>
      </w:r>
      <w:r w:rsidR="00A93055" w:rsidRPr="0074460E">
        <w:rPr>
          <w:lang w:eastAsia="en-AU"/>
        </w:rPr>
        <w:t>I find t</w:t>
      </w:r>
      <w:r w:rsidR="00F72E28" w:rsidRPr="0074460E">
        <w:rPr>
          <w:lang w:eastAsia="en-AU"/>
        </w:rPr>
        <w:t xml:space="preserve">he </w:t>
      </w:r>
      <w:r w:rsidR="00985A2B">
        <w:rPr>
          <w:lang w:eastAsia="en-AU"/>
        </w:rPr>
        <w:t>design response</w:t>
      </w:r>
      <w:r w:rsidR="00F72E28" w:rsidRPr="0074460E">
        <w:rPr>
          <w:lang w:eastAsia="en-AU"/>
        </w:rPr>
        <w:t xml:space="preserve"> does not represent a satisfactory response to t</w:t>
      </w:r>
      <w:r w:rsidR="002D22B5" w:rsidRPr="0074460E">
        <w:rPr>
          <w:lang w:eastAsia="en-AU"/>
        </w:rPr>
        <w:t>hese</w:t>
      </w:r>
      <w:r w:rsidR="00F72E28" w:rsidRPr="0074460E">
        <w:rPr>
          <w:lang w:eastAsia="en-AU"/>
        </w:rPr>
        <w:t xml:space="preserve"> </w:t>
      </w:r>
      <w:r w:rsidR="002D22B5" w:rsidRPr="0074460E">
        <w:rPr>
          <w:lang w:eastAsia="en-AU"/>
        </w:rPr>
        <w:t xml:space="preserve">sensitive residential </w:t>
      </w:r>
      <w:r w:rsidR="00F72E28" w:rsidRPr="0074460E">
        <w:rPr>
          <w:lang w:eastAsia="en-AU"/>
        </w:rPr>
        <w:t>interface</w:t>
      </w:r>
      <w:r w:rsidR="002D22B5" w:rsidRPr="0074460E">
        <w:rPr>
          <w:lang w:eastAsia="en-AU"/>
        </w:rPr>
        <w:t>s</w:t>
      </w:r>
      <w:r w:rsidR="00F72E28" w:rsidRPr="0074460E">
        <w:rPr>
          <w:lang w:eastAsia="en-AU"/>
        </w:rPr>
        <w:t>.</w:t>
      </w:r>
    </w:p>
    <w:p w:rsidR="00B71E30" w:rsidRPr="0074460E" w:rsidRDefault="00B71E30" w:rsidP="00F72E28">
      <w:pPr>
        <w:pStyle w:val="Para1"/>
        <w:rPr>
          <w:lang w:eastAsia="en-AU"/>
        </w:rPr>
      </w:pPr>
      <w:r w:rsidRPr="0074460E">
        <w:rPr>
          <w:lang w:eastAsia="en-AU"/>
        </w:rPr>
        <w:t>Clause 22.14 requires new residential development to:</w:t>
      </w:r>
    </w:p>
    <w:p w:rsidR="00B71E30" w:rsidRPr="0074460E" w:rsidRDefault="00B71E30" w:rsidP="00B71E30">
      <w:pPr>
        <w:pStyle w:val="Quote1"/>
        <w:rPr>
          <w:lang w:eastAsia="en-AU"/>
        </w:rPr>
      </w:pPr>
      <w:r w:rsidRPr="0074460E">
        <w:rPr>
          <w:lang w:eastAsia="en-AU"/>
        </w:rPr>
        <w:t>….  address the future amenity of the occupants, visitors and those using public streets by maximising accessibility, passive surveillance and internal amenity</w:t>
      </w:r>
      <w:r w:rsidR="00985A2B">
        <w:rPr>
          <w:lang w:eastAsia="en-AU"/>
        </w:rPr>
        <w:t>.</w:t>
      </w:r>
    </w:p>
    <w:p w:rsidR="0023545C" w:rsidRPr="0074460E" w:rsidRDefault="009443D0" w:rsidP="00F72E28">
      <w:pPr>
        <w:pStyle w:val="Para1"/>
        <w:rPr>
          <w:lang w:eastAsia="en-AU"/>
        </w:rPr>
      </w:pPr>
      <w:r w:rsidRPr="0074460E">
        <w:rPr>
          <w:lang w:eastAsia="en-AU"/>
        </w:rPr>
        <w:t>I consider t</w:t>
      </w:r>
      <w:r w:rsidR="00F72E28" w:rsidRPr="0074460E">
        <w:rPr>
          <w:lang w:eastAsia="en-AU"/>
        </w:rPr>
        <w:t xml:space="preserve">he ground floor level </w:t>
      </w:r>
      <w:r w:rsidR="00B71E30" w:rsidRPr="0074460E">
        <w:rPr>
          <w:lang w:eastAsia="en-AU"/>
        </w:rPr>
        <w:t xml:space="preserve">layout of the development does not achieve an appropriate level of amenity for future occupants </w:t>
      </w:r>
      <w:r w:rsidR="00F72E28" w:rsidRPr="0074460E">
        <w:rPr>
          <w:lang w:eastAsia="en-AU"/>
        </w:rPr>
        <w:t>of the development</w:t>
      </w:r>
      <w:r w:rsidR="00B71E30" w:rsidRPr="0074460E">
        <w:rPr>
          <w:lang w:eastAsia="en-AU"/>
        </w:rPr>
        <w:t xml:space="preserve">.  </w:t>
      </w:r>
      <w:r w:rsidR="0023545C" w:rsidRPr="0074460E">
        <w:rPr>
          <w:lang w:eastAsia="en-AU"/>
        </w:rPr>
        <w:t>I find t</w:t>
      </w:r>
      <w:r w:rsidR="00B71E30" w:rsidRPr="0074460E">
        <w:rPr>
          <w:lang w:eastAsia="en-AU"/>
        </w:rPr>
        <w:t>he internal setting</w:t>
      </w:r>
      <w:r w:rsidR="0023545C" w:rsidRPr="0074460E">
        <w:rPr>
          <w:lang w:eastAsia="en-AU"/>
        </w:rPr>
        <w:t xml:space="preserve"> and layout</w:t>
      </w:r>
      <w:r w:rsidR="00B71E30" w:rsidRPr="0074460E">
        <w:rPr>
          <w:lang w:eastAsia="en-AU"/>
        </w:rPr>
        <w:t xml:space="preserve"> of the site</w:t>
      </w:r>
      <w:r w:rsidR="00F72E28" w:rsidRPr="0074460E">
        <w:rPr>
          <w:lang w:eastAsia="en-AU"/>
        </w:rPr>
        <w:t xml:space="preserve"> is </w:t>
      </w:r>
      <w:r w:rsidRPr="0074460E">
        <w:rPr>
          <w:lang w:eastAsia="en-AU"/>
        </w:rPr>
        <w:t xml:space="preserve">overly </w:t>
      </w:r>
      <w:r w:rsidR="00F72E28" w:rsidRPr="0074460E">
        <w:rPr>
          <w:lang w:eastAsia="en-AU"/>
        </w:rPr>
        <w:t>dominated by</w:t>
      </w:r>
      <w:r w:rsidR="00BA4EFE" w:rsidRPr="0074460E">
        <w:rPr>
          <w:lang w:eastAsia="en-AU"/>
        </w:rPr>
        <w:t xml:space="preserve"> double car</w:t>
      </w:r>
      <w:r w:rsidR="00F72E28" w:rsidRPr="0074460E">
        <w:rPr>
          <w:lang w:eastAsia="en-AU"/>
        </w:rPr>
        <w:t xml:space="preserve"> garage doors and </w:t>
      </w:r>
      <w:r w:rsidR="00BA4EFE" w:rsidRPr="0074460E">
        <w:rPr>
          <w:lang w:eastAsia="en-AU"/>
        </w:rPr>
        <w:t xml:space="preserve">narrow </w:t>
      </w:r>
      <w:r w:rsidR="00F72E28" w:rsidRPr="0074460E">
        <w:rPr>
          <w:lang w:eastAsia="en-AU"/>
        </w:rPr>
        <w:t>entry doors into the dwellings</w:t>
      </w:r>
      <w:r w:rsidR="00BA4EFE" w:rsidRPr="0074460E">
        <w:rPr>
          <w:lang w:eastAsia="en-AU"/>
        </w:rPr>
        <w:t xml:space="preserve"> from the </w:t>
      </w:r>
      <w:r w:rsidR="008D2D65">
        <w:rPr>
          <w:lang w:eastAsia="en-AU"/>
        </w:rPr>
        <w:t xml:space="preserve">vehicular </w:t>
      </w:r>
      <w:r w:rsidR="00BA4EFE" w:rsidRPr="0074460E">
        <w:rPr>
          <w:lang w:eastAsia="en-AU"/>
        </w:rPr>
        <w:t>driveway</w:t>
      </w:r>
      <w:r w:rsidR="00F72E28" w:rsidRPr="0074460E">
        <w:rPr>
          <w:lang w:eastAsia="en-AU"/>
        </w:rPr>
        <w:t>.</w:t>
      </w:r>
      <w:r w:rsidRPr="0074460E">
        <w:rPr>
          <w:lang w:eastAsia="en-AU"/>
        </w:rPr>
        <w:t xml:space="preserve">  </w:t>
      </w:r>
      <w:r w:rsidR="0023545C" w:rsidRPr="0074460E">
        <w:rPr>
          <w:lang w:eastAsia="en-AU"/>
        </w:rPr>
        <w:t>There is little opportunity to provide for some</w:t>
      </w:r>
      <w:r w:rsidR="008D2D65">
        <w:rPr>
          <w:lang w:eastAsia="en-AU"/>
        </w:rPr>
        <w:t xml:space="preserve"> meaningful</w:t>
      </w:r>
      <w:r w:rsidR="0023545C" w:rsidRPr="0074460E">
        <w:rPr>
          <w:lang w:eastAsia="en-AU"/>
        </w:rPr>
        <w:t xml:space="preserve"> ‘greening’ of this environment by landscape treatment</w:t>
      </w:r>
      <w:r w:rsidR="008D2D65">
        <w:rPr>
          <w:lang w:eastAsia="en-AU"/>
        </w:rPr>
        <w:t xml:space="preserve"> due to the extent of built </w:t>
      </w:r>
      <w:r w:rsidR="00985A2B">
        <w:rPr>
          <w:lang w:eastAsia="en-AU"/>
        </w:rPr>
        <w:t xml:space="preserve">form </w:t>
      </w:r>
      <w:r w:rsidR="008D2D65">
        <w:rPr>
          <w:lang w:eastAsia="en-AU"/>
        </w:rPr>
        <w:t>and hard stand area</w:t>
      </w:r>
      <w:r w:rsidR="0023545C" w:rsidRPr="0074460E">
        <w:rPr>
          <w:lang w:eastAsia="en-AU"/>
        </w:rPr>
        <w:t xml:space="preserve">.  </w:t>
      </w:r>
    </w:p>
    <w:p w:rsidR="00F72E28" w:rsidRPr="0074460E" w:rsidRDefault="008D2D65" w:rsidP="00F72E28">
      <w:pPr>
        <w:pStyle w:val="Para1"/>
        <w:rPr>
          <w:lang w:eastAsia="en-AU"/>
        </w:rPr>
      </w:pPr>
      <w:r>
        <w:rPr>
          <w:lang w:eastAsia="en-AU"/>
        </w:rPr>
        <w:t>I consider t</w:t>
      </w:r>
      <w:r w:rsidR="00B71E30" w:rsidRPr="0074460E">
        <w:rPr>
          <w:lang w:eastAsia="en-AU"/>
        </w:rPr>
        <w:t>he entrance</w:t>
      </w:r>
      <w:r w:rsidR="0023545C" w:rsidRPr="0074460E">
        <w:rPr>
          <w:lang w:eastAsia="en-AU"/>
        </w:rPr>
        <w:t>s</w:t>
      </w:r>
      <w:r w:rsidR="00B71E30" w:rsidRPr="0074460E">
        <w:rPr>
          <w:lang w:eastAsia="en-AU"/>
        </w:rPr>
        <w:t xml:space="preserve"> to Dwellings 2, 3 and 4 </w:t>
      </w:r>
      <w:r w:rsidR="0023545C" w:rsidRPr="0074460E">
        <w:rPr>
          <w:lang w:eastAsia="en-AU"/>
        </w:rPr>
        <w:t xml:space="preserve">are </w:t>
      </w:r>
      <w:r w:rsidR="00B71E30" w:rsidRPr="0074460E">
        <w:rPr>
          <w:lang w:eastAsia="en-AU"/>
        </w:rPr>
        <w:t xml:space="preserve">visually obscured </w:t>
      </w:r>
      <w:r w:rsidR="0023545C" w:rsidRPr="0074460E">
        <w:rPr>
          <w:lang w:eastAsia="en-AU"/>
        </w:rPr>
        <w:t xml:space="preserve">from </w:t>
      </w:r>
      <w:r>
        <w:rPr>
          <w:lang w:eastAsia="en-AU"/>
        </w:rPr>
        <w:t xml:space="preserve">casual views </w:t>
      </w:r>
      <w:r w:rsidR="00985A2B">
        <w:rPr>
          <w:lang w:eastAsia="en-AU"/>
        </w:rPr>
        <w:t xml:space="preserve">to and </w:t>
      </w:r>
      <w:r>
        <w:rPr>
          <w:lang w:eastAsia="en-AU"/>
        </w:rPr>
        <w:t xml:space="preserve">from </w:t>
      </w:r>
      <w:r w:rsidR="0023545C" w:rsidRPr="0074460E">
        <w:rPr>
          <w:lang w:eastAsia="en-AU"/>
        </w:rPr>
        <w:t xml:space="preserve">the street </w:t>
      </w:r>
      <w:r w:rsidR="00B71E30" w:rsidRPr="0074460E">
        <w:rPr>
          <w:lang w:eastAsia="en-AU"/>
        </w:rPr>
        <w:t>by the</w:t>
      </w:r>
      <w:r w:rsidR="0023545C" w:rsidRPr="0074460E">
        <w:rPr>
          <w:lang w:eastAsia="en-AU"/>
        </w:rPr>
        <w:t xml:space="preserve"> proposed</w:t>
      </w:r>
      <w:r w:rsidR="00B71E30" w:rsidRPr="0074460E">
        <w:rPr>
          <w:lang w:eastAsia="en-AU"/>
        </w:rPr>
        <w:t xml:space="preserve"> pergola form </w:t>
      </w:r>
      <w:r w:rsidR="0023545C" w:rsidRPr="0074460E">
        <w:rPr>
          <w:lang w:eastAsia="en-AU"/>
        </w:rPr>
        <w:t xml:space="preserve">located </w:t>
      </w:r>
      <w:r w:rsidR="00B71E30" w:rsidRPr="0074460E">
        <w:rPr>
          <w:lang w:eastAsia="en-AU"/>
        </w:rPr>
        <w:t xml:space="preserve">over the driveway and the </w:t>
      </w:r>
      <w:r w:rsidR="0074460E" w:rsidRPr="0074460E">
        <w:rPr>
          <w:lang w:eastAsia="en-AU"/>
        </w:rPr>
        <w:t>cantilever-built</w:t>
      </w:r>
      <w:r w:rsidR="00B71E30" w:rsidRPr="0074460E">
        <w:rPr>
          <w:lang w:eastAsia="en-AU"/>
        </w:rPr>
        <w:t xml:space="preserve"> form at first and second floors.  The physical entrances to Dwellings 2, 3 and 4 are located under the </w:t>
      </w:r>
      <w:r w:rsidR="00985A2B" w:rsidRPr="0074460E">
        <w:rPr>
          <w:lang w:eastAsia="en-AU"/>
        </w:rPr>
        <w:t>cantilever-built</w:t>
      </w:r>
      <w:r w:rsidR="00985A2B">
        <w:rPr>
          <w:lang w:eastAsia="en-AU"/>
        </w:rPr>
        <w:t xml:space="preserve"> </w:t>
      </w:r>
      <w:r w:rsidR="00B71E30" w:rsidRPr="0074460E">
        <w:rPr>
          <w:lang w:eastAsia="en-AU"/>
        </w:rPr>
        <w:t>form and</w:t>
      </w:r>
      <w:r w:rsidR="0023545C" w:rsidRPr="0074460E">
        <w:rPr>
          <w:lang w:eastAsia="en-AU"/>
        </w:rPr>
        <w:t xml:space="preserve"> </w:t>
      </w:r>
      <w:r w:rsidR="00985A2B">
        <w:rPr>
          <w:lang w:eastAsia="en-AU"/>
        </w:rPr>
        <w:t xml:space="preserve">in my view </w:t>
      </w:r>
      <w:r w:rsidR="0023545C" w:rsidRPr="0074460E">
        <w:rPr>
          <w:lang w:eastAsia="en-AU"/>
        </w:rPr>
        <w:t>are not easily legible</w:t>
      </w:r>
      <w:r w:rsidR="00985A2B">
        <w:rPr>
          <w:lang w:eastAsia="en-AU"/>
        </w:rPr>
        <w:t xml:space="preserve"> to new visitors to the site.  The design does</w:t>
      </w:r>
      <w:r w:rsidR="0023545C" w:rsidRPr="0074460E">
        <w:rPr>
          <w:lang w:eastAsia="en-AU"/>
        </w:rPr>
        <w:t xml:space="preserve"> not offer passive surveillance opportunities from these dwellings into the driveway and common areas of the development.  I also note that </w:t>
      </w:r>
      <w:r w:rsidR="0074460E" w:rsidRPr="0074460E">
        <w:rPr>
          <w:lang w:eastAsia="en-AU"/>
        </w:rPr>
        <w:t xml:space="preserve">direct </w:t>
      </w:r>
      <w:r w:rsidR="0023545C" w:rsidRPr="0074460E">
        <w:rPr>
          <w:lang w:eastAsia="en-AU"/>
        </w:rPr>
        <w:t xml:space="preserve">access for </w:t>
      </w:r>
      <w:r w:rsidR="0074460E" w:rsidRPr="0074460E">
        <w:rPr>
          <w:lang w:eastAsia="en-AU"/>
        </w:rPr>
        <w:t xml:space="preserve">future </w:t>
      </w:r>
      <w:r w:rsidR="0023545C" w:rsidRPr="0074460E">
        <w:rPr>
          <w:lang w:eastAsia="en-AU"/>
        </w:rPr>
        <w:t xml:space="preserve">occupants of Dwelling 4 </w:t>
      </w:r>
      <w:r w:rsidR="00985A2B" w:rsidRPr="0074460E">
        <w:rPr>
          <w:lang w:eastAsia="en-AU"/>
        </w:rPr>
        <w:t xml:space="preserve">is not readily available </w:t>
      </w:r>
      <w:r w:rsidR="0023545C" w:rsidRPr="0074460E">
        <w:rPr>
          <w:lang w:eastAsia="en-AU"/>
        </w:rPr>
        <w:t>from its living area to</w:t>
      </w:r>
      <w:r w:rsidR="00985A2B">
        <w:rPr>
          <w:lang w:eastAsia="en-AU"/>
        </w:rPr>
        <w:t xml:space="preserve"> the</w:t>
      </w:r>
      <w:r w:rsidR="0023545C" w:rsidRPr="0074460E">
        <w:rPr>
          <w:lang w:eastAsia="en-AU"/>
        </w:rPr>
        <w:t xml:space="preserve"> </w:t>
      </w:r>
      <w:r w:rsidR="00985A2B">
        <w:rPr>
          <w:lang w:eastAsia="en-AU"/>
        </w:rPr>
        <w:t xml:space="preserve">rear </w:t>
      </w:r>
      <w:r w:rsidR="0023545C" w:rsidRPr="0074460E">
        <w:rPr>
          <w:lang w:eastAsia="en-AU"/>
        </w:rPr>
        <w:t xml:space="preserve">outdoor open space.  </w:t>
      </w:r>
      <w:r w:rsidR="0074460E" w:rsidRPr="0074460E">
        <w:rPr>
          <w:lang w:eastAsia="en-AU"/>
        </w:rPr>
        <w:t>Though I accept t</w:t>
      </w:r>
      <w:r w:rsidR="0023545C" w:rsidRPr="0074460E">
        <w:rPr>
          <w:lang w:eastAsia="en-AU"/>
        </w:rPr>
        <w:t>hese matters could be addressed by permit condition</w:t>
      </w:r>
      <w:r w:rsidR="0074460E" w:rsidRPr="0074460E">
        <w:rPr>
          <w:lang w:eastAsia="en-AU"/>
        </w:rPr>
        <w:t>, the</w:t>
      </w:r>
      <w:r w:rsidR="00985A2B">
        <w:rPr>
          <w:lang w:eastAsia="en-AU"/>
        </w:rPr>
        <w:t>y</w:t>
      </w:r>
      <w:r w:rsidR="0074460E" w:rsidRPr="0074460E">
        <w:rPr>
          <w:lang w:eastAsia="en-AU"/>
        </w:rPr>
        <w:t xml:space="preserve"> </w:t>
      </w:r>
      <w:r w:rsidR="0023545C" w:rsidRPr="0074460E">
        <w:rPr>
          <w:lang w:eastAsia="en-AU"/>
        </w:rPr>
        <w:t>highlight</w:t>
      </w:r>
      <w:r w:rsidR="0074460E" w:rsidRPr="0074460E">
        <w:rPr>
          <w:lang w:eastAsia="en-AU"/>
        </w:rPr>
        <w:t xml:space="preserve"> important shortcomings </w:t>
      </w:r>
      <w:r w:rsidR="0023545C" w:rsidRPr="0074460E">
        <w:rPr>
          <w:lang w:eastAsia="en-AU"/>
        </w:rPr>
        <w:t>with the current design response</w:t>
      </w:r>
      <w:r w:rsidR="00F72E28" w:rsidRPr="0074460E">
        <w:rPr>
          <w:lang w:eastAsia="en-AU"/>
        </w:rPr>
        <w:t>.</w:t>
      </w:r>
    </w:p>
    <w:p w:rsidR="00BF3D2F" w:rsidRPr="0074460E" w:rsidRDefault="00985A2B" w:rsidP="0071038E">
      <w:pPr>
        <w:pStyle w:val="Para1"/>
      </w:pPr>
      <w:r>
        <w:t xml:space="preserve">For the reasons outlined above </w:t>
      </w:r>
      <w:r w:rsidR="0074460E" w:rsidRPr="0074460E">
        <w:t>I find the proposed development will result in unreasonable amenity impacts to adjoining properties and result in poor internal amenity outcomes for future occupants of the proposed dwellings.</w:t>
      </w:r>
    </w:p>
    <w:p w:rsidR="00BF3D2F" w:rsidRPr="0074460E" w:rsidRDefault="00BF3D2F" w:rsidP="00E200CF">
      <w:pPr>
        <w:pStyle w:val="Heading2"/>
      </w:pPr>
      <w:r w:rsidRPr="0074460E">
        <w:t>Conclusion</w:t>
      </w:r>
    </w:p>
    <w:p w:rsidR="00BF3D2F" w:rsidRPr="0074460E" w:rsidRDefault="00BF3D2F" w:rsidP="00E200CF">
      <w:pPr>
        <w:pStyle w:val="Para1"/>
      </w:pPr>
      <w:r w:rsidRPr="0074460E">
        <w:t>For the reasons given above, the decision of the responsible authority is affirmed.  No permit is granted.</w:t>
      </w:r>
    </w:p>
    <w:p w:rsidR="00BF3D2F" w:rsidRPr="0074460E" w:rsidRDefault="00BF3D2F" w:rsidP="00E200CF"/>
    <w:p w:rsidR="00BF3D2F" w:rsidRPr="0074460E" w:rsidRDefault="00BF3D2F" w:rsidP="00E200CF"/>
    <w:tbl>
      <w:tblPr>
        <w:tblW w:w="5000" w:type="pct"/>
        <w:tblLook w:val="0000" w:firstRow="0" w:lastRow="0" w:firstColumn="0" w:lastColumn="0" w:noHBand="0" w:noVBand="0"/>
      </w:tblPr>
      <w:tblGrid>
        <w:gridCol w:w="3423"/>
        <w:gridCol w:w="1659"/>
        <w:gridCol w:w="3423"/>
      </w:tblGrid>
      <w:tr w:rsidR="00BF3D2F" w:rsidTr="00683149">
        <w:tc>
          <w:tcPr>
            <w:tcW w:w="2012" w:type="pct"/>
          </w:tcPr>
          <w:p w:rsidR="00BF3D2F" w:rsidRPr="0074460E" w:rsidRDefault="00BF3D2F" w:rsidP="00683149">
            <w:pPr>
              <w:rPr>
                <w:b/>
              </w:rPr>
            </w:pPr>
            <w:r w:rsidRPr="0074460E">
              <w:rPr>
                <w:b/>
              </w:rPr>
              <w:t>Peter Gaschk</w:t>
            </w:r>
          </w:p>
          <w:p w:rsidR="00BF3D2F" w:rsidRDefault="00BF3D2F" w:rsidP="00683149">
            <w:pPr>
              <w:tabs>
                <w:tab w:val="left" w:pos="1515"/>
              </w:tabs>
              <w:rPr>
                <w:b/>
              </w:rPr>
            </w:pPr>
            <w:r w:rsidRPr="0074460E">
              <w:rPr>
                <w:b/>
              </w:rPr>
              <w:t>Member</w:t>
            </w:r>
          </w:p>
        </w:tc>
        <w:tc>
          <w:tcPr>
            <w:tcW w:w="975" w:type="pct"/>
          </w:tcPr>
          <w:p w:rsidR="00BF3D2F" w:rsidRDefault="00BF3D2F" w:rsidP="00683149"/>
        </w:tc>
        <w:tc>
          <w:tcPr>
            <w:tcW w:w="2012" w:type="pct"/>
          </w:tcPr>
          <w:p w:rsidR="00BF3D2F" w:rsidRDefault="00BF3D2F" w:rsidP="00683149"/>
        </w:tc>
      </w:tr>
    </w:tbl>
    <w:p w:rsidR="00BF3D2F" w:rsidRDefault="00BF3D2F" w:rsidP="00E200CF"/>
    <w:sectPr w:rsidR="00BF3D2F" w:rsidSect="0074460E">
      <w:footerReference w:type="default" r:id="rId9"/>
      <w:pgSz w:w="11907" w:h="16840" w:code="9"/>
      <w:pgMar w:top="1418" w:right="1701" w:bottom="1418"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09E" w:rsidRDefault="00BE009E">
      <w:r>
        <w:separator/>
      </w:r>
    </w:p>
  </w:endnote>
  <w:endnote w:type="continuationSeparator" w:id="0">
    <w:p w:rsidR="00BE009E" w:rsidRDefault="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2B5253">
      <w:trPr>
        <w:cantSplit/>
      </w:trPr>
      <w:tc>
        <w:tcPr>
          <w:tcW w:w="3884" w:type="pct"/>
        </w:tcPr>
        <w:p w:rsidR="002B5253" w:rsidRDefault="002B5253">
          <w:pPr>
            <w:pStyle w:val="Footer"/>
            <w:spacing w:beforeLines="60" w:before="144"/>
            <w:rPr>
              <w:rFonts w:cs="Arial"/>
              <w:sz w:val="18"/>
              <w:szCs w:val="18"/>
            </w:rPr>
          </w:pPr>
          <w:bookmarkStart w:id="2" w:name="FooterDescription"/>
          <w:bookmarkStart w:id="3" w:name="FooterFileNo1"/>
          <w:bookmarkEnd w:id="2"/>
          <w:bookmarkEnd w:id="3"/>
          <w:r>
            <w:rPr>
              <w:rFonts w:cs="Arial"/>
              <w:sz w:val="18"/>
              <w:szCs w:val="18"/>
            </w:rPr>
            <w:t>VCAT Reference No.</w:t>
          </w:r>
          <w:r w:rsidR="0066272E">
            <w:rPr>
              <w:rFonts w:cs="Arial"/>
              <w:sz w:val="18"/>
              <w:szCs w:val="18"/>
            </w:rPr>
            <w:t xml:space="preserve"> P586/2019</w:t>
          </w:r>
        </w:p>
      </w:tc>
      <w:tc>
        <w:tcPr>
          <w:tcW w:w="1116" w:type="pct"/>
        </w:tcPr>
        <w:p w:rsidR="002B5253" w:rsidRDefault="002B5253">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rsidR="002B5253" w:rsidRDefault="002B5253">
    <w:pPr>
      <w:pStyle w:val="Footer"/>
      <w:rPr>
        <w:sz w:val="2"/>
      </w:rPr>
    </w:pPr>
  </w:p>
  <w:p w:rsidR="002B5253" w:rsidRDefault="002B5253">
    <w:pPr>
      <w:rPr>
        <w:sz w:val="2"/>
      </w:rPr>
    </w:pPr>
  </w:p>
  <w:p w:rsidR="002B5253" w:rsidRDefault="002B525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09E" w:rsidRDefault="00BE009E">
      <w:pPr>
        <w:pStyle w:val="Footer"/>
        <w:pBdr>
          <w:top w:val="single" w:sz="4" w:space="1" w:color="auto"/>
        </w:pBdr>
        <w:rPr>
          <w:sz w:val="12"/>
        </w:rPr>
      </w:pPr>
    </w:p>
  </w:footnote>
  <w:footnote w:type="continuationSeparator" w:id="0">
    <w:p w:rsidR="00BE009E" w:rsidRDefault="00BE009E">
      <w:r>
        <w:continuationSeparator/>
      </w:r>
    </w:p>
  </w:footnote>
  <w:footnote w:id="1">
    <w:p w:rsidR="002B5253" w:rsidRDefault="002B5253"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2B5253" w:rsidRDefault="002B5253" w:rsidP="00555FAE">
      <w:pPr>
        <w:pStyle w:val="FootnoteText"/>
      </w:pPr>
      <w:r>
        <w:rPr>
          <w:rStyle w:val="FootnoteReference"/>
        </w:rPr>
        <w:footnoteRef/>
      </w:r>
      <w:r>
        <w:t xml:space="preserve"> </w:t>
      </w:r>
      <w:r>
        <w:tab/>
        <w:t xml:space="preserve">Amended plans prepared by West Urban, dated 21 August 2019 were substituted at the hearing (Interim Order dated 18 November 2019).  </w:t>
      </w:r>
    </w:p>
  </w:footnote>
  <w:footnote w:id="3">
    <w:p w:rsidR="002B5253" w:rsidRDefault="002B5253">
      <w:pPr>
        <w:pStyle w:val="FootnoteText"/>
      </w:pPr>
      <w:r>
        <w:rPr>
          <w:rStyle w:val="FootnoteReference"/>
        </w:rPr>
        <w:footnoteRef/>
      </w:r>
      <w:r>
        <w:t xml:space="preserve"> </w:t>
      </w:r>
      <w:r>
        <w:tab/>
        <w:t>The council advised that zoning of the review site was amended to GRZ7 under Amendment C120 to the Scheme, gazetted 25 January 2018.</w:t>
      </w:r>
    </w:p>
  </w:footnote>
  <w:footnote w:id="4">
    <w:p w:rsidR="002B5253" w:rsidRDefault="002B5253">
      <w:pPr>
        <w:pStyle w:val="FootnoteText"/>
      </w:pPr>
      <w:r>
        <w:rPr>
          <w:rStyle w:val="FootnoteReference"/>
        </w:rPr>
        <w:footnoteRef/>
      </w:r>
      <w:r>
        <w:t xml:space="preserve"> </w:t>
      </w:r>
      <w:r>
        <w:tab/>
        <w:t xml:space="preserve">Amendment C125 Part 2 did not alter existing provisions of clause 22.14.  The review site remains in Area 8: Housing Diversity (Map 1: Land Use Plan) and Precinct 7: Surrounding Residential (Map 2: The Glen </w:t>
      </w:r>
      <w:r w:rsidR="00B63E45">
        <w:t>Waverley</w:t>
      </w:r>
      <w:r>
        <w:t xml:space="preserve"> Activity Centre Precinct Plan)</w:t>
      </w:r>
    </w:p>
  </w:footnote>
  <w:footnote w:id="5">
    <w:p w:rsidR="002B5253" w:rsidRDefault="002B5253">
      <w:pPr>
        <w:pStyle w:val="FootnoteText"/>
      </w:pPr>
      <w:r>
        <w:rPr>
          <w:rStyle w:val="FootnoteReference"/>
        </w:rPr>
        <w:footnoteRef/>
      </w:r>
      <w:r>
        <w:t xml:space="preserve"> </w:t>
      </w:r>
      <w:r>
        <w:tab/>
        <w:t>At clause 21.04.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E3D"/>
    <w:multiLevelType w:val="hybridMultilevel"/>
    <w:tmpl w:val="10642C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4B03F5"/>
    <w:multiLevelType w:val="hybridMultilevel"/>
    <w:tmpl w:val="9A46F5AC"/>
    <w:lvl w:ilvl="0" w:tplc="0F1605C4">
      <w:start w:val="1"/>
      <w:numFmt w:val="lowerLetter"/>
      <w:lvlText w:val="%1)"/>
      <w:lvlJc w:val="left"/>
      <w:pPr>
        <w:ind w:left="1080" w:hanging="360"/>
      </w:pPr>
      <w:rPr>
        <w:rFonts w:cs="Times New Roman"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6"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1">
    <w:nsid w:val="1F147656"/>
    <w:multiLevelType w:val="multilevel"/>
    <w:tmpl w:val="E05CEAF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3474814"/>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3474815"/>
    <w:multiLevelType w:val="hybridMultilevel"/>
    <w:tmpl w:val="818681C6"/>
    <w:lvl w:ilvl="0" w:tplc="0C090017">
      <w:start w:val="1"/>
      <w:numFmt w:val="lowerLetter"/>
      <w:lvlText w:val="%1)"/>
      <w:lvlJc w:val="left"/>
      <w:pPr>
        <w:tabs>
          <w:tab w:val="num" w:pos="1080"/>
        </w:tabs>
        <w:ind w:left="1080" w:hanging="360"/>
      </w:p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CFB0E73"/>
    <w:multiLevelType w:val="hybridMultilevel"/>
    <w:tmpl w:val="AA8AEECA"/>
    <w:lvl w:ilvl="0" w:tplc="43CA07A2">
      <w:start w:val="6"/>
      <w:numFmt w:val="decimal"/>
      <w:pStyle w:val="NumberedParagraph"/>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4F361C22"/>
    <w:multiLevelType w:val="hybridMultilevel"/>
    <w:tmpl w:val="CD666988"/>
    <w:lvl w:ilvl="0" w:tplc="8530F880">
      <w:start w:val="18"/>
      <w:numFmt w:val="decimal"/>
      <w:lvlText w:val="%1."/>
      <w:lvlJc w:val="left"/>
      <w:pPr>
        <w:ind w:left="2007" w:hanging="360"/>
      </w:pPr>
      <w:rPr>
        <w:rFonts w:hint="default"/>
      </w:rPr>
    </w:lvl>
    <w:lvl w:ilvl="1" w:tplc="0C090019">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5" w15:restartNumberingAfterBreak="0">
    <w:nsid w:val="52B35A1B"/>
    <w:multiLevelType w:val="multilevel"/>
    <w:tmpl w:val="0CDE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D16245"/>
    <w:multiLevelType w:val="hybridMultilevel"/>
    <w:tmpl w:val="7B40B1D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16"/>
  </w:num>
  <w:num w:numId="5">
    <w:abstractNumId w:val="5"/>
  </w:num>
  <w:num w:numId="6">
    <w:abstractNumId w:val="6"/>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13"/>
  </w:num>
  <w:num w:numId="21">
    <w:abstractNumId w:val="14"/>
  </w:num>
  <w:num w:numId="22">
    <w:abstractNumId w:val="4"/>
  </w:num>
  <w:num w:numId="23">
    <w:abstractNumId w:val="17"/>
  </w:num>
  <w:num w:numId="24">
    <w:abstractNumId w:val="0"/>
  </w:num>
  <w:num w:numId="25">
    <w:abstractNumId w:val="15"/>
    <w:lvlOverride w:ilvl="0">
      <w:startOverride w:val="16"/>
    </w:lvlOverride>
  </w:num>
  <w:num w:numId="26">
    <w:abstractNumId w:val="15"/>
    <w:lvlOverride w:ilvl="0">
      <w:startOverride w:val="17"/>
    </w:lvlOverride>
  </w:num>
  <w:num w:numId="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Aq1hj1qhEigcvHixiug6Y5DZZ8BpJzjTWGw7IqQzqFp35RcWmg76qlZ/CNwsTjemDe47ZOO+L3eHzix/tYqqg==" w:salt="dkKlUWQl7arA2f6Iuqb6B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05301"/>
    <w:rsid w:val="0001113F"/>
    <w:rsid w:val="00027F01"/>
    <w:rsid w:val="0004323A"/>
    <w:rsid w:val="0004673D"/>
    <w:rsid w:val="00057004"/>
    <w:rsid w:val="00061FEB"/>
    <w:rsid w:val="00062780"/>
    <w:rsid w:val="00063C31"/>
    <w:rsid w:val="000854CC"/>
    <w:rsid w:val="000945F9"/>
    <w:rsid w:val="00094A20"/>
    <w:rsid w:val="000B0A3F"/>
    <w:rsid w:val="000B5E4C"/>
    <w:rsid w:val="000B5E76"/>
    <w:rsid w:val="000D0DA2"/>
    <w:rsid w:val="000E2BF0"/>
    <w:rsid w:val="000F4E28"/>
    <w:rsid w:val="000F6160"/>
    <w:rsid w:val="00103894"/>
    <w:rsid w:val="001049F9"/>
    <w:rsid w:val="00124C1E"/>
    <w:rsid w:val="00131387"/>
    <w:rsid w:val="00141E13"/>
    <w:rsid w:val="00152541"/>
    <w:rsid w:val="001567AE"/>
    <w:rsid w:val="00160045"/>
    <w:rsid w:val="0016093F"/>
    <w:rsid w:val="00163377"/>
    <w:rsid w:val="001676C8"/>
    <w:rsid w:val="00167876"/>
    <w:rsid w:val="00167A20"/>
    <w:rsid w:val="001708C4"/>
    <w:rsid w:val="00174435"/>
    <w:rsid w:val="0018330C"/>
    <w:rsid w:val="00191491"/>
    <w:rsid w:val="001A23C1"/>
    <w:rsid w:val="001A5A08"/>
    <w:rsid w:val="001B0BC2"/>
    <w:rsid w:val="001B44F8"/>
    <w:rsid w:val="001B63CE"/>
    <w:rsid w:val="001C6FB2"/>
    <w:rsid w:val="001D0F5A"/>
    <w:rsid w:val="001D63A4"/>
    <w:rsid w:val="001D664A"/>
    <w:rsid w:val="001E3409"/>
    <w:rsid w:val="001E49C7"/>
    <w:rsid w:val="001E6329"/>
    <w:rsid w:val="001F28FC"/>
    <w:rsid w:val="001F2D3D"/>
    <w:rsid w:val="00212FA3"/>
    <w:rsid w:val="0023472F"/>
    <w:rsid w:val="00234CB1"/>
    <w:rsid w:val="0023545C"/>
    <w:rsid w:val="00250FB1"/>
    <w:rsid w:val="002563BE"/>
    <w:rsid w:val="002668F6"/>
    <w:rsid w:val="00267F8E"/>
    <w:rsid w:val="0028144B"/>
    <w:rsid w:val="0028244B"/>
    <w:rsid w:val="00290F9B"/>
    <w:rsid w:val="00293A03"/>
    <w:rsid w:val="002A0350"/>
    <w:rsid w:val="002A47E1"/>
    <w:rsid w:val="002A52E0"/>
    <w:rsid w:val="002B5253"/>
    <w:rsid w:val="002B7051"/>
    <w:rsid w:val="002C35D0"/>
    <w:rsid w:val="002C611C"/>
    <w:rsid w:val="002D05B6"/>
    <w:rsid w:val="002D1515"/>
    <w:rsid w:val="002D22B5"/>
    <w:rsid w:val="002E1722"/>
    <w:rsid w:val="002F27B5"/>
    <w:rsid w:val="003020D5"/>
    <w:rsid w:val="00312D8A"/>
    <w:rsid w:val="0031301B"/>
    <w:rsid w:val="0032102D"/>
    <w:rsid w:val="00322661"/>
    <w:rsid w:val="00324654"/>
    <w:rsid w:val="003337A8"/>
    <w:rsid w:val="0034213D"/>
    <w:rsid w:val="003601EE"/>
    <w:rsid w:val="00361E5C"/>
    <w:rsid w:val="00361EF0"/>
    <w:rsid w:val="00374DBF"/>
    <w:rsid w:val="003803AB"/>
    <w:rsid w:val="003813E9"/>
    <w:rsid w:val="003B3BB7"/>
    <w:rsid w:val="003B5499"/>
    <w:rsid w:val="003B5E75"/>
    <w:rsid w:val="003D546E"/>
    <w:rsid w:val="003D7278"/>
    <w:rsid w:val="003E11C8"/>
    <w:rsid w:val="004044CE"/>
    <w:rsid w:val="00404CB7"/>
    <w:rsid w:val="004162E2"/>
    <w:rsid w:val="00433236"/>
    <w:rsid w:val="00434BAA"/>
    <w:rsid w:val="00437385"/>
    <w:rsid w:val="0045158A"/>
    <w:rsid w:val="004571BE"/>
    <w:rsid w:val="00461044"/>
    <w:rsid w:val="004615BB"/>
    <w:rsid w:val="00467B86"/>
    <w:rsid w:val="0047068C"/>
    <w:rsid w:val="004757B7"/>
    <w:rsid w:val="00477574"/>
    <w:rsid w:val="004832BF"/>
    <w:rsid w:val="004908EE"/>
    <w:rsid w:val="004919B5"/>
    <w:rsid w:val="00495762"/>
    <w:rsid w:val="0049704A"/>
    <w:rsid w:val="004A113A"/>
    <w:rsid w:val="004A201D"/>
    <w:rsid w:val="004A79C2"/>
    <w:rsid w:val="004B3605"/>
    <w:rsid w:val="004B38F0"/>
    <w:rsid w:val="004B77F9"/>
    <w:rsid w:val="004D0391"/>
    <w:rsid w:val="004D2122"/>
    <w:rsid w:val="004E4F98"/>
    <w:rsid w:val="004E6E0A"/>
    <w:rsid w:val="004F267F"/>
    <w:rsid w:val="004F54C1"/>
    <w:rsid w:val="0050064F"/>
    <w:rsid w:val="00502933"/>
    <w:rsid w:val="00507771"/>
    <w:rsid w:val="00510802"/>
    <w:rsid w:val="005272A5"/>
    <w:rsid w:val="00527BD3"/>
    <w:rsid w:val="0055484C"/>
    <w:rsid w:val="00554886"/>
    <w:rsid w:val="0055512A"/>
    <w:rsid w:val="00555FAE"/>
    <w:rsid w:val="00556007"/>
    <w:rsid w:val="0058084D"/>
    <w:rsid w:val="005820F7"/>
    <w:rsid w:val="0059145F"/>
    <w:rsid w:val="00592C08"/>
    <w:rsid w:val="005A6D70"/>
    <w:rsid w:val="005B3D5D"/>
    <w:rsid w:val="005C183F"/>
    <w:rsid w:val="005C6FE7"/>
    <w:rsid w:val="005D408F"/>
    <w:rsid w:val="005D428A"/>
    <w:rsid w:val="005D4469"/>
    <w:rsid w:val="005D6C47"/>
    <w:rsid w:val="005D77CE"/>
    <w:rsid w:val="005E1511"/>
    <w:rsid w:val="005E2D20"/>
    <w:rsid w:val="005E4824"/>
    <w:rsid w:val="005F3FCB"/>
    <w:rsid w:val="005F402B"/>
    <w:rsid w:val="005F65CE"/>
    <w:rsid w:val="005F6FDD"/>
    <w:rsid w:val="00604881"/>
    <w:rsid w:val="00604B3D"/>
    <w:rsid w:val="006102AB"/>
    <w:rsid w:val="00641F84"/>
    <w:rsid w:val="006450D2"/>
    <w:rsid w:val="00647F43"/>
    <w:rsid w:val="0065338E"/>
    <w:rsid w:val="0066272E"/>
    <w:rsid w:val="00672E6B"/>
    <w:rsid w:val="00680AFF"/>
    <w:rsid w:val="00682C14"/>
    <w:rsid w:val="00683149"/>
    <w:rsid w:val="00684058"/>
    <w:rsid w:val="00691472"/>
    <w:rsid w:val="00697776"/>
    <w:rsid w:val="006B34D4"/>
    <w:rsid w:val="006B491B"/>
    <w:rsid w:val="006B505C"/>
    <w:rsid w:val="006B776F"/>
    <w:rsid w:val="006C2106"/>
    <w:rsid w:val="006C6A28"/>
    <w:rsid w:val="006C7549"/>
    <w:rsid w:val="006D5C61"/>
    <w:rsid w:val="006E38A9"/>
    <w:rsid w:val="006E7914"/>
    <w:rsid w:val="00702B08"/>
    <w:rsid w:val="007045DB"/>
    <w:rsid w:val="00705098"/>
    <w:rsid w:val="0071038E"/>
    <w:rsid w:val="00712FD5"/>
    <w:rsid w:val="007149C1"/>
    <w:rsid w:val="00721E45"/>
    <w:rsid w:val="00726365"/>
    <w:rsid w:val="00730123"/>
    <w:rsid w:val="007301D6"/>
    <w:rsid w:val="0073277E"/>
    <w:rsid w:val="0074460E"/>
    <w:rsid w:val="00745E58"/>
    <w:rsid w:val="00753DCE"/>
    <w:rsid w:val="0075518F"/>
    <w:rsid w:val="00763504"/>
    <w:rsid w:val="00764EDD"/>
    <w:rsid w:val="007744DE"/>
    <w:rsid w:val="00776999"/>
    <w:rsid w:val="00780572"/>
    <w:rsid w:val="00786600"/>
    <w:rsid w:val="0079593A"/>
    <w:rsid w:val="00796305"/>
    <w:rsid w:val="00797E5E"/>
    <w:rsid w:val="007C1026"/>
    <w:rsid w:val="007C3793"/>
    <w:rsid w:val="007D487A"/>
    <w:rsid w:val="007D5A6F"/>
    <w:rsid w:val="007F601B"/>
    <w:rsid w:val="007F77A1"/>
    <w:rsid w:val="008128BB"/>
    <w:rsid w:val="00812BED"/>
    <w:rsid w:val="00812EEA"/>
    <w:rsid w:val="008265B7"/>
    <w:rsid w:val="00830459"/>
    <w:rsid w:val="0084488B"/>
    <w:rsid w:val="0084497D"/>
    <w:rsid w:val="008602F8"/>
    <w:rsid w:val="0088320C"/>
    <w:rsid w:val="00894574"/>
    <w:rsid w:val="00895173"/>
    <w:rsid w:val="008A247D"/>
    <w:rsid w:val="008A3C26"/>
    <w:rsid w:val="008A46EC"/>
    <w:rsid w:val="008A5793"/>
    <w:rsid w:val="008B4936"/>
    <w:rsid w:val="008B7EB8"/>
    <w:rsid w:val="008C1674"/>
    <w:rsid w:val="008D2D65"/>
    <w:rsid w:val="008E61BF"/>
    <w:rsid w:val="008F381E"/>
    <w:rsid w:val="00924205"/>
    <w:rsid w:val="0092611C"/>
    <w:rsid w:val="00926A96"/>
    <w:rsid w:val="00932AF9"/>
    <w:rsid w:val="0094148C"/>
    <w:rsid w:val="009443D0"/>
    <w:rsid w:val="0095277F"/>
    <w:rsid w:val="0095590D"/>
    <w:rsid w:val="00956463"/>
    <w:rsid w:val="00971A76"/>
    <w:rsid w:val="009804A9"/>
    <w:rsid w:val="00985A2B"/>
    <w:rsid w:val="00993294"/>
    <w:rsid w:val="009A49D7"/>
    <w:rsid w:val="009B2252"/>
    <w:rsid w:val="009B25D6"/>
    <w:rsid w:val="009B45B7"/>
    <w:rsid w:val="009C06C7"/>
    <w:rsid w:val="009D0685"/>
    <w:rsid w:val="00A11AC4"/>
    <w:rsid w:val="00A150D3"/>
    <w:rsid w:val="00A2032C"/>
    <w:rsid w:val="00A30D6A"/>
    <w:rsid w:val="00A35800"/>
    <w:rsid w:val="00A462AA"/>
    <w:rsid w:val="00A53783"/>
    <w:rsid w:val="00A64C60"/>
    <w:rsid w:val="00A67654"/>
    <w:rsid w:val="00A86C65"/>
    <w:rsid w:val="00A93055"/>
    <w:rsid w:val="00A97094"/>
    <w:rsid w:val="00AA5091"/>
    <w:rsid w:val="00AA587E"/>
    <w:rsid w:val="00AB0951"/>
    <w:rsid w:val="00AB29FA"/>
    <w:rsid w:val="00AC04BF"/>
    <w:rsid w:val="00AD21E8"/>
    <w:rsid w:val="00AF1451"/>
    <w:rsid w:val="00B01DC8"/>
    <w:rsid w:val="00B07DA5"/>
    <w:rsid w:val="00B134F7"/>
    <w:rsid w:val="00B14B51"/>
    <w:rsid w:val="00B160AF"/>
    <w:rsid w:val="00B22F68"/>
    <w:rsid w:val="00B24B9B"/>
    <w:rsid w:val="00B30FB4"/>
    <w:rsid w:val="00B33EE1"/>
    <w:rsid w:val="00B355D6"/>
    <w:rsid w:val="00B36ACB"/>
    <w:rsid w:val="00B371E4"/>
    <w:rsid w:val="00B5690C"/>
    <w:rsid w:val="00B63E45"/>
    <w:rsid w:val="00B71E30"/>
    <w:rsid w:val="00B76C39"/>
    <w:rsid w:val="00B876A2"/>
    <w:rsid w:val="00B91655"/>
    <w:rsid w:val="00BA1951"/>
    <w:rsid w:val="00BA4EFE"/>
    <w:rsid w:val="00BB27FB"/>
    <w:rsid w:val="00BB57C0"/>
    <w:rsid w:val="00BB75D3"/>
    <w:rsid w:val="00BB7851"/>
    <w:rsid w:val="00BC192A"/>
    <w:rsid w:val="00BC219D"/>
    <w:rsid w:val="00BC75EA"/>
    <w:rsid w:val="00BE009E"/>
    <w:rsid w:val="00BF1C79"/>
    <w:rsid w:val="00BF38D8"/>
    <w:rsid w:val="00BF3D2F"/>
    <w:rsid w:val="00BF499B"/>
    <w:rsid w:val="00C03EFD"/>
    <w:rsid w:val="00C041A1"/>
    <w:rsid w:val="00C10388"/>
    <w:rsid w:val="00C17AB8"/>
    <w:rsid w:val="00C17D50"/>
    <w:rsid w:val="00C21529"/>
    <w:rsid w:val="00C26EBF"/>
    <w:rsid w:val="00C718A5"/>
    <w:rsid w:val="00C7408F"/>
    <w:rsid w:val="00C911E9"/>
    <w:rsid w:val="00CA2144"/>
    <w:rsid w:val="00CA2642"/>
    <w:rsid w:val="00CB4B38"/>
    <w:rsid w:val="00CC19B1"/>
    <w:rsid w:val="00CC3FB2"/>
    <w:rsid w:val="00CC6FF1"/>
    <w:rsid w:val="00CD1F2A"/>
    <w:rsid w:val="00CD4FC1"/>
    <w:rsid w:val="00CE2838"/>
    <w:rsid w:val="00CE7837"/>
    <w:rsid w:val="00CF222C"/>
    <w:rsid w:val="00D03F21"/>
    <w:rsid w:val="00D13BA6"/>
    <w:rsid w:val="00D14A42"/>
    <w:rsid w:val="00D23389"/>
    <w:rsid w:val="00D24AFE"/>
    <w:rsid w:val="00D24B15"/>
    <w:rsid w:val="00D33CB6"/>
    <w:rsid w:val="00D44461"/>
    <w:rsid w:val="00D5439E"/>
    <w:rsid w:val="00D6081F"/>
    <w:rsid w:val="00D616BA"/>
    <w:rsid w:val="00D6423A"/>
    <w:rsid w:val="00D64D3E"/>
    <w:rsid w:val="00DA2E7A"/>
    <w:rsid w:val="00DA5ACA"/>
    <w:rsid w:val="00DA6E22"/>
    <w:rsid w:val="00DB36BC"/>
    <w:rsid w:val="00DC5C4F"/>
    <w:rsid w:val="00DC662B"/>
    <w:rsid w:val="00DC7C16"/>
    <w:rsid w:val="00DD240D"/>
    <w:rsid w:val="00DD56CD"/>
    <w:rsid w:val="00DD6893"/>
    <w:rsid w:val="00DE78B1"/>
    <w:rsid w:val="00DF27CA"/>
    <w:rsid w:val="00E002C5"/>
    <w:rsid w:val="00E200CF"/>
    <w:rsid w:val="00E22A2C"/>
    <w:rsid w:val="00E43F7D"/>
    <w:rsid w:val="00E448D5"/>
    <w:rsid w:val="00E60D3B"/>
    <w:rsid w:val="00E62037"/>
    <w:rsid w:val="00E73A56"/>
    <w:rsid w:val="00E75E77"/>
    <w:rsid w:val="00E8030D"/>
    <w:rsid w:val="00E818DB"/>
    <w:rsid w:val="00E87955"/>
    <w:rsid w:val="00E95FD0"/>
    <w:rsid w:val="00EA5010"/>
    <w:rsid w:val="00EA5975"/>
    <w:rsid w:val="00EB6D53"/>
    <w:rsid w:val="00EB7273"/>
    <w:rsid w:val="00ED56ED"/>
    <w:rsid w:val="00EE5E8E"/>
    <w:rsid w:val="00F13023"/>
    <w:rsid w:val="00F338E1"/>
    <w:rsid w:val="00F4065B"/>
    <w:rsid w:val="00F42FC7"/>
    <w:rsid w:val="00F43ECD"/>
    <w:rsid w:val="00F55C68"/>
    <w:rsid w:val="00F60617"/>
    <w:rsid w:val="00F71398"/>
    <w:rsid w:val="00F71FE5"/>
    <w:rsid w:val="00F72E28"/>
    <w:rsid w:val="00F773CF"/>
    <w:rsid w:val="00F9058C"/>
    <w:rsid w:val="00F92755"/>
    <w:rsid w:val="00F93626"/>
    <w:rsid w:val="00F94FD0"/>
    <w:rsid w:val="00FA19D8"/>
    <w:rsid w:val="00FA6317"/>
    <w:rsid w:val="00FA6411"/>
    <w:rsid w:val="00FC3AA9"/>
    <w:rsid w:val="00FD69FD"/>
    <w:rsid w:val="00FF09A8"/>
    <w:rsid w:val="00FF1EAE"/>
    <w:rsid w:val="00FF44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1E87A"/>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link w:val="Para5Char"/>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BodyText">
    <w:name w:val="Body Text"/>
    <w:basedOn w:val="Normal"/>
    <w:link w:val="BodyTextChar"/>
    <w:rsid w:val="00BF3D2F"/>
    <w:pPr>
      <w:spacing w:after="120"/>
    </w:pPr>
    <w:rPr>
      <w:rFonts w:eastAsia="Calibri"/>
      <w:sz w:val="24"/>
      <w:szCs w:val="24"/>
    </w:rPr>
  </w:style>
  <w:style w:type="character" w:customStyle="1" w:styleId="BodyTextChar">
    <w:name w:val="Body Text Char"/>
    <w:basedOn w:val="DefaultParagraphFont"/>
    <w:link w:val="BodyText"/>
    <w:rsid w:val="00BF3D2F"/>
    <w:rPr>
      <w:rFonts w:eastAsia="Calibri"/>
      <w:sz w:val="24"/>
      <w:szCs w:val="24"/>
      <w:lang w:eastAsia="en-US"/>
    </w:rPr>
  </w:style>
  <w:style w:type="paragraph" w:styleId="ListParagraph">
    <w:name w:val="List Paragraph"/>
    <w:basedOn w:val="Normal"/>
    <w:uiPriority w:val="34"/>
    <w:qFormat/>
    <w:rsid w:val="00BF3D2F"/>
    <w:pPr>
      <w:ind w:left="720"/>
      <w:contextualSpacing/>
    </w:pPr>
    <w:rPr>
      <w:rFonts w:eastAsia="Calibri"/>
      <w:sz w:val="24"/>
      <w:szCs w:val="24"/>
    </w:rPr>
  </w:style>
  <w:style w:type="paragraph" w:customStyle="1" w:styleId="other">
    <w:name w:val="other"/>
    <w:basedOn w:val="Normal"/>
    <w:rsid w:val="00BF3D2F"/>
    <w:rPr>
      <w:sz w:val="24"/>
      <w:szCs w:val="20"/>
    </w:rPr>
  </w:style>
  <w:style w:type="paragraph" w:styleId="BodyTextIndent3">
    <w:name w:val="Body Text Indent 3"/>
    <w:basedOn w:val="Normal"/>
    <w:link w:val="BodyTextIndent3Char"/>
    <w:rsid w:val="00BF3D2F"/>
    <w:pPr>
      <w:spacing w:after="120"/>
      <w:ind w:left="360"/>
    </w:pPr>
    <w:rPr>
      <w:rFonts w:eastAsia="Calibri"/>
      <w:sz w:val="16"/>
      <w:szCs w:val="16"/>
    </w:rPr>
  </w:style>
  <w:style w:type="character" w:customStyle="1" w:styleId="BodyTextIndent3Char">
    <w:name w:val="Body Text Indent 3 Char"/>
    <w:basedOn w:val="DefaultParagraphFont"/>
    <w:link w:val="BodyTextIndent3"/>
    <w:rsid w:val="00BF3D2F"/>
    <w:rPr>
      <w:rFonts w:eastAsia="Calibri"/>
      <w:sz w:val="16"/>
      <w:szCs w:val="16"/>
      <w:lang w:eastAsia="en-US"/>
    </w:rPr>
  </w:style>
  <w:style w:type="paragraph" w:customStyle="1" w:styleId="NumberedParagraph">
    <w:name w:val="NumberedParagraph"/>
    <w:basedOn w:val="Normal"/>
    <w:autoRedefine/>
    <w:qFormat/>
    <w:rsid w:val="00BF3D2F"/>
    <w:pPr>
      <w:numPr>
        <w:numId w:val="20"/>
      </w:numPr>
      <w:spacing w:after="240"/>
      <w:ind w:left="709" w:right="-71" w:hanging="709"/>
      <w:jc w:val="both"/>
    </w:pPr>
    <w:rPr>
      <w:rFonts w:ascii="Calibri" w:hAnsi="Calibri"/>
      <w:noProof/>
      <w:color w:val="000000"/>
      <w:sz w:val="24"/>
      <w:szCs w:val="24"/>
      <w:lang w:eastAsia="en-AU"/>
    </w:rPr>
  </w:style>
  <w:style w:type="character" w:customStyle="1" w:styleId="Para5Char">
    <w:name w:val="Para 5 Char"/>
    <w:link w:val="Para5"/>
    <w:rsid w:val="00DD6893"/>
    <w:rPr>
      <w:sz w:val="26"/>
      <w:szCs w:val="26"/>
      <w:lang w:eastAsia="en-US"/>
    </w:rPr>
  </w:style>
  <w:style w:type="character" w:customStyle="1" w:styleId="Para1CharChar">
    <w:name w:val="Para 1 Char Char"/>
    <w:link w:val="Para1"/>
    <w:rsid w:val="009A49D7"/>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7040">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054617935">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44434-665E-48F6-BEF9-E8180B64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3BD09C5A.dotm</Template>
  <TotalTime>1</TotalTime>
  <Pages>15</Pages>
  <Words>4621</Words>
  <Characters>25938</Characters>
  <Application>Microsoft Office Word</Application>
  <DocSecurity>12</DocSecurity>
  <Lines>216</Lines>
  <Paragraphs>60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Rahel Baum (CSV)</cp:lastModifiedBy>
  <cp:revision>2</cp:revision>
  <cp:lastPrinted>2016-10-05T18:04:00Z</cp:lastPrinted>
  <dcterms:created xsi:type="dcterms:W3CDTF">2020-02-11T03:17:00Z</dcterms:created>
  <dcterms:modified xsi:type="dcterms:W3CDTF">2020-02-11T03:17:00Z</dcterms:modified>
</cp:coreProperties>
</file>