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CF" w:rsidRPr="00920060" w:rsidRDefault="005671E7" w:rsidP="00E200CF">
      <w:pPr>
        <w:pStyle w:val="TitlePage1"/>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rsidRPr="00920060">
        <w:t>VICTORIAN CIVIL AND ADMINISTRATIVE TRIBUNAL</w:t>
      </w:r>
    </w:p>
    <w:p w:rsidR="00E200CF" w:rsidRPr="00920060" w:rsidRDefault="00E200CF" w:rsidP="004A201D">
      <w:pPr>
        <w:pStyle w:val="TitlePage1"/>
        <w:spacing w:after="120"/>
      </w:pPr>
      <w:bookmarkStart w:id="0" w:name="Division"/>
      <w:bookmarkEnd w:id="0"/>
      <w:r w:rsidRPr="00920060">
        <w:t>administrative DIVISION</w:t>
      </w:r>
    </w:p>
    <w:tbl>
      <w:tblPr>
        <w:tblW w:w="5000" w:type="pct"/>
        <w:tblLook w:val="0000" w:firstRow="0" w:lastRow="0" w:firstColumn="0" w:lastColumn="0" w:noHBand="0" w:noVBand="0"/>
      </w:tblPr>
      <w:tblGrid>
        <w:gridCol w:w="4494"/>
        <w:gridCol w:w="4011"/>
      </w:tblGrid>
      <w:tr w:rsidR="001220AE" w:rsidRPr="00216038" w:rsidTr="003A7D32">
        <w:trPr>
          <w:cantSplit/>
        </w:trPr>
        <w:tc>
          <w:tcPr>
            <w:tcW w:w="2642" w:type="pct"/>
          </w:tcPr>
          <w:p w:rsidR="001220AE" w:rsidRPr="00216038" w:rsidRDefault="001220AE" w:rsidP="003A7D32">
            <w:pPr>
              <w:pStyle w:val="TitlePage2"/>
            </w:pPr>
            <w:bookmarkStart w:id="1" w:name="SubDivision"/>
            <w:bookmarkEnd w:id="1"/>
            <w:r w:rsidRPr="00216038">
              <w:t>planning and environment LIST</w:t>
            </w:r>
          </w:p>
        </w:tc>
        <w:tc>
          <w:tcPr>
            <w:tcW w:w="2358" w:type="pct"/>
          </w:tcPr>
          <w:p w:rsidR="001220AE" w:rsidRPr="00216038" w:rsidRDefault="001220AE" w:rsidP="003A7D32">
            <w:pPr>
              <w:pStyle w:val="TitlePage3"/>
            </w:pPr>
            <w:r w:rsidRPr="00216038">
              <w:t xml:space="preserve">vcat reference No. </w:t>
            </w:r>
            <w:r w:rsidR="00216038" w:rsidRPr="00216038">
              <w:rPr>
                <w:noProof/>
              </w:rPr>
              <w:t>P1836/2018</w:t>
            </w:r>
          </w:p>
          <w:p w:rsidR="001220AE" w:rsidRPr="00216038" w:rsidRDefault="001220AE" w:rsidP="003A7D32">
            <w:pPr>
              <w:pStyle w:val="TitlePage3"/>
            </w:pPr>
            <w:r w:rsidRPr="00216038">
              <w:t xml:space="preserve">Permit Application no. </w:t>
            </w:r>
            <w:r w:rsidR="00216038" w:rsidRPr="00216038">
              <w:t>TPA/48692</w:t>
            </w:r>
          </w:p>
        </w:tc>
      </w:tr>
      <w:tr w:rsidR="001220AE" w:rsidRPr="00216038" w:rsidTr="003A7D32">
        <w:tblPrEx>
          <w:jc w:val="center"/>
        </w:tblPrEx>
        <w:trPr>
          <w:cantSplit/>
          <w:jc w:val="center"/>
        </w:trPr>
        <w:tc>
          <w:tcPr>
            <w:tcW w:w="5000" w:type="pct"/>
            <w:gridSpan w:val="2"/>
          </w:tcPr>
          <w:p w:rsidR="001220AE" w:rsidRPr="00216038" w:rsidRDefault="001220AE" w:rsidP="003A7D32">
            <w:pPr>
              <w:pStyle w:val="TitlePage2"/>
              <w:jc w:val="center"/>
            </w:pPr>
            <w:r w:rsidRPr="00216038">
              <w:t>CATCHWORDS</w:t>
            </w:r>
          </w:p>
        </w:tc>
      </w:tr>
      <w:tr w:rsidR="001220AE" w:rsidRPr="00854CE8" w:rsidTr="003A7D32">
        <w:tblPrEx>
          <w:jc w:val="center"/>
        </w:tblPrEx>
        <w:trPr>
          <w:cantSplit/>
          <w:jc w:val="center"/>
        </w:trPr>
        <w:tc>
          <w:tcPr>
            <w:tcW w:w="5000" w:type="pct"/>
            <w:gridSpan w:val="2"/>
          </w:tcPr>
          <w:p w:rsidR="001220AE" w:rsidRPr="00854CE8" w:rsidRDefault="000342AB" w:rsidP="003A7D32">
            <w:pPr>
              <w:pStyle w:val="Catchwords"/>
            </w:pPr>
            <w:r w:rsidRPr="00854CE8">
              <w:rPr>
                <w:sz w:val="16"/>
                <w:szCs w:val="16"/>
              </w:rPr>
              <w:t>Section 80</w:t>
            </w:r>
            <w:r w:rsidR="00DB22B3" w:rsidRPr="00854CE8">
              <w:rPr>
                <w:sz w:val="16"/>
                <w:szCs w:val="16"/>
              </w:rPr>
              <w:t xml:space="preserve"> of the Planning &amp; Environment Act 1987; </w:t>
            </w:r>
            <w:r w:rsidR="00142E9E" w:rsidRPr="00854CE8">
              <w:rPr>
                <w:sz w:val="16"/>
                <w:szCs w:val="16"/>
              </w:rPr>
              <w:t>Monash</w:t>
            </w:r>
            <w:r w:rsidR="00DB22B3" w:rsidRPr="00854CE8">
              <w:rPr>
                <w:sz w:val="16"/>
                <w:szCs w:val="16"/>
              </w:rPr>
              <w:t xml:space="preserve"> Planning Scheme; General Residential Zone 2; </w:t>
            </w:r>
            <w:r w:rsidR="006A0FB3" w:rsidRPr="00854CE8">
              <w:rPr>
                <w:sz w:val="16"/>
                <w:szCs w:val="16"/>
              </w:rPr>
              <w:t>Condition</w:t>
            </w:r>
            <w:r w:rsidR="00854CE8" w:rsidRPr="00854CE8">
              <w:rPr>
                <w:sz w:val="16"/>
                <w:szCs w:val="16"/>
              </w:rPr>
              <w:t>s</w:t>
            </w:r>
            <w:r w:rsidR="006A0FB3" w:rsidRPr="00854CE8">
              <w:rPr>
                <w:sz w:val="16"/>
                <w:szCs w:val="16"/>
              </w:rPr>
              <w:t xml:space="preserve"> 1(a</w:t>
            </w:r>
            <w:r w:rsidR="00854CE8" w:rsidRPr="00854CE8">
              <w:rPr>
                <w:sz w:val="16"/>
                <w:szCs w:val="16"/>
              </w:rPr>
              <w:t>-g</w:t>
            </w:r>
            <w:r w:rsidR="006A0FB3" w:rsidRPr="00854CE8">
              <w:rPr>
                <w:sz w:val="16"/>
                <w:szCs w:val="16"/>
              </w:rPr>
              <w:t>)</w:t>
            </w:r>
            <w:r w:rsidR="00854CE8" w:rsidRPr="00854CE8">
              <w:rPr>
                <w:sz w:val="16"/>
                <w:szCs w:val="16"/>
              </w:rPr>
              <w:t xml:space="preserve"> 1(k) and 1(m)</w:t>
            </w:r>
            <w:r w:rsidR="006A0FB3" w:rsidRPr="00854CE8">
              <w:rPr>
                <w:sz w:val="16"/>
                <w:szCs w:val="16"/>
              </w:rPr>
              <w:t xml:space="preserve">, </w:t>
            </w:r>
            <w:r w:rsidR="00854CE8" w:rsidRPr="00854CE8">
              <w:rPr>
                <w:sz w:val="16"/>
                <w:szCs w:val="16"/>
              </w:rPr>
              <w:t>Front Setback</w:t>
            </w:r>
            <w:r w:rsidR="00CD5182">
              <w:rPr>
                <w:sz w:val="16"/>
                <w:szCs w:val="16"/>
              </w:rPr>
              <w:t>; Storage</w:t>
            </w:r>
            <w:r w:rsidR="006A0FB3" w:rsidRPr="00854CE8">
              <w:rPr>
                <w:sz w:val="16"/>
                <w:szCs w:val="16"/>
              </w:rPr>
              <w:t>.</w:t>
            </w:r>
          </w:p>
        </w:tc>
      </w:tr>
    </w:tbl>
    <w:p w:rsidR="001220AE" w:rsidRPr="004151FC" w:rsidRDefault="001220AE" w:rsidP="001220AE">
      <w:pPr>
        <w:rPr>
          <w:highlight w:val="yellow"/>
        </w:rPr>
      </w:pPr>
    </w:p>
    <w:tbl>
      <w:tblPr>
        <w:tblW w:w="5000" w:type="pct"/>
        <w:tblLook w:val="0000" w:firstRow="0" w:lastRow="0" w:firstColumn="0" w:lastColumn="0" w:noHBand="0" w:noVBand="0"/>
      </w:tblPr>
      <w:tblGrid>
        <w:gridCol w:w="3441"/>
        <w:gridCol w:w="5064"/>
      </w:tblGrid>
      <w:tr w:rsidR="001220AE" w:rsidRPr="00216038" w:rsidTr="003A7D32">
        <w:tc>
          <w:tcPr>
            <w:tcW w:w="2023" w:type="pct"/>
          </w:tcPr>
          <w:p w:rsidR="001220AE" w:rsidRPr="00216038" w:rsidRDefault="001220AE" w:rsidP="003A7D32">
            <w:pPr>
              <w:pStyle w:val="TitlePage2"/>
            </w:pPr>
            <w:r w:rsidRPr="00216038">
              <w:t>APPLICANT</w:t>
            </w:r>
          </w:p>
        </w:tc>
        <w:tc>
          <w:tcPr>
            <w:tcW w:w="2977" w:type="pct"/>
          </w:tcPr>
          <w:p w:rsidR="001220AE" w:rsidRPr="00216038" w:rsidRDefault="00216038" w:rsidP="003A7D32">
            <w:pPr>
              <w:pStyle w:val="TitlePagetext"/>
            </w:pPr>
            <w:r w:rsidRPr="00216038">
              <w:rPr>
                <w:noProof/>
              </w:rPr>
              <w:t>Charis Lu</w:t>
            </w:r>
          </w:p>
        </w:tc>
      </w:tr>
      <w:tr w:rsidR="001220AE" w:rsidRPr="00216038" w:rsidTr="003A7D32">
        <w:tc>
          <w:tcPr>
            <w:tcW w:w="2023" w:type="pct"/>
          </w:tcPr>
          <w:p w:rsidR="001220AE" w:rsidRPr="00216038" w:rsidRDefault="0038483E" w:rsidP="003A7D32">
            <w:pPr>
              <w:pStyle w:val="TitlePage2"/>
            </w:pPr>
            <w:r>
              <w:t>Responsible Authority</w:t>
            </w:r>
          </w:p>
        </w:tc>
        <w:tc>
          <w:tcPr>
            <w:tcW w:w="2977" w:type="pct"/>
          </w:tcPr>
          <w:p w:rsidR="001220AE" w:rsidRPr="00216038" w:rsidRDefault="00142E9E" w:rsidP="003A7D32">
            <w:pPr>
              <w:pStyle w:val="TitlePagetext"/>
            </w:pPr>
            <w:r w:rsidRPr="00216038">
              <w:rPr>
                <w:noProof/>
              </w:rPr>
              <w:t>Monash</w:t>
            </w:r>
            <w:r w:rsidR="001220AE" w:rsidRPr="00216038">
              <w:rPr>
                <w:noProof/>
              </w:rPr>
              <w:t xml:space="preserve"> City Council</w:t>
            </w:r>
          </w:p>
        </w:tc>
      </w:tr>
      <w:tr w:rsidR="001220AE" w:rsidRPr="00216038" w:rsidTr="003A7D32">
        <w:tc>
          <w:tcPr>
            <w:tcW w:w="2023" w:type="pct"/>
          </w:tcPr>
          <w:p w:rsidR="001220AE" w:rsidRPr="00216038" w:rsidRDefault="001220AE" w:rsidP="003A7D32">
            <w:pPr>
              <w:pStyle w:val="TitlePage2"/>
            </w:pPr>
            <w:r w:rsidRPr="00216038">
              <w:t>RESPONDENT</w:t>
            </w:r>
          </w:p>
        </w:tc>
        <w:tc>
          <w:tcPr>
            <w:tcW w:w="2977" w:type="pct"/>
          </w:tcPr>
          <w:p w:rsidR="001220AE" w:rsidRPr="00216038" w:rsidRDefault="00216038" w:rsidP="003A7D32">
            <w:pPr>
              <w:pStyle w:val="TitlePagetext"/>
            </w:pPr>
            <w:r>
              <w:rPr>
                <w:noProof/>
              </w:rPr>
              <w:t>Robca Nominees Pty Ltd</w:t>
            </w:r>
            <w:r w:rsidR="000342AB" w:rsidRPr="00216038">
              <w:rPr>
                <w:noProof/>
              </w:rPr>
              <w:t xml:space="preserve"> </w:t>
            </w:r>
          </w:p>
        </w:tc>
      </w:tr>
      <w:tr w:rsidR="001220AE" w:rsidRPr="00216038" w:rsidTr="003A7D32">
        <w:tc>
          <w:tcPr>
            <w:tcW w:w="2023" w:type="pct"/>
          </w:tcPr>
          <w:p w:rsidR="001220AE" w:rsidRPr="00216038" w:rsidRDefault="001220AE" w:rsidP="003A7D32">
            <w:pPr>
              <w:pStyle w:val="TitlePage2"/>
            </w:pPr>
            <w:r w:rsidRPr="00216038">
              <w:t>SUBJECT LAND</w:t>
            </w:r>
          </w:p>
        </w:tc>
        <w:tc>
          <w:tcPr>
            <w:tcW w:w="2977" w:type="pct"/>
          </w:tcPr>
          <w:p w:rsidR="001220AE" w:rsidRPr="00216038" w:rsidRDefault="00216038" w:rsidP="003A7D32">
            <w:pPr>
              <w:pStyle w:val="TitlePagetext"/>
            </w:pPr>
            <w:bookmarkStart w:id="2" w:name="_GoBack"/>
            <w:r w:rsidRPr="00216038">
              <w:rPr>
                <w:noProof/>
              </w:rPr>
              <w:t>14 Woonah Street</w:t>
            </w:r>
            <w:bookmarkEnd w:id="2"/>
            <w:r w:rsidR="001220AE" w:rsidRPr="00216038">
              <w:rPr>
                <w:noProof/>
              </w:rPr>
              <w:br/>
            </w:r>
            <w:r w:rsidRPr="00216038">
              <w:rPr>
                <w:noProof/>
              </w:rPr>
              <w:t>CHADSTONE</w:t>
            </w:r>
            <w:r w:rsidR="001220AE" w:rsidRPr="00216038">
              <w:rPr>
                <w:noProof/>
              </w:rPr>
              <w:t xml:space="preserve">  VIC  </w:t>
            </w:r>
          </w:p>
        </w:tc>
      </w:tr>
      <w:tr w:rsidR="001220AE" w:rsidRPr="00216038" w:rsidTr="003A7D32">
        <w:tc>
          <w:tcPr>
            <w:tcW w:w="2023" w:type="pct"/>
          </w:tcPr>
          <w:p w:rsidR="001220AE" w:rsidRPr="00216038" w:rsidRDefault="001220AE" w:rsidP="003A7D32">
            <w:pPr>
              <w:pStyle w:val="TitlePage2"/>
            </w:pPr>
            <w:r w:rsidRPr="00216038">
              <w:t>WHERE HELD</w:t>
            </w:r>
          </w:p>
        </w:tc>
        <w:tc>
          <w:tcPr>
            <w:tcW w:w="2977" w:type="pct"/>
          </w:tcPr>
          <w:p w:rsidR="001220AE" w:rsidRPr="00216038" w:rsidRDefault="00DB22B3" w:rsidP="003A7D32">
            <w:pPr>
              <w:pStyle w:val="TitlePagetext"/>
            </w:pPr>
            <w:r w:rsidRPr="00216038">
              <w:t>Melbourne</w:t>
            </w:r>
          </w:p>
        </w:tc>
      </w:tr>
      <w:tr w:rsidR="001220AE" w:rsidRPr="00216038" w:rsidTr="003A7D32">
        <w:tc>
          <w:tcPr>
            <w:tcW w:w="2023" w:type="pct"/>
          </w:tcPr>
          <w:p w:rsidR="001220AE" w:rsidRPr="00216038" w:rsidRDefault="001220AE" w:rsidP="003A7D32">
            <w:pPr>
              <w:pStyle w:val="TitlePage2"/>
            </w:pPr>
            <w:r w:rsidRPr="00216038">
              <w:t>BEFORE</w:t>
            </w:r>
          </w:p>
        </w:tc>
        <w:tc>
          <w:tcPr>
            <w:tcW w:w="2977" w:type="pct"/>
          </w:tcPr>
          <w:p w:rsidR="001220AE" w:rsidRPr="00216038" w:rsidRDefault="001220AE" w:rsidP="003A7D32">
            <w:pPr>
              <w:pStyle w:val="TitlePagetext"/>
            </w:pPr>
            <w:r w:rsidRPr="00216038">
              <w:rPr>
                <w:noProof/>
              </w:rPr>
              <w:t>Alison Slattery, Member</w:t>
            </w:r>
          </w:p>
        </w:tc>
      </w:tr>
      <w:tr w:rsidR="001220AE" w:rsidRPr="00216038" w:rsidTr="003A7D32">
        <w:tc>
          <w:tcPr>
            <w:tcW w:w="2023" w:type="pct"/>
          </w:tcPr>
          <w:p w:rsidR="001220AE" w:rsidRPr="00216038" w:rsidRDefault="001220AE" w:rsidP="003A7D32">
            <w:pPr>
              <w:pStyle w:val="TitlePage2"/>
            </w:pPr>
            <w:r w:rsidRPr="00216038">
              <w:t>HEARING TYPE</w:t>
            </w:r>
          </w:p>
        </w:tc>
        <w:tc>
          <w:tcPr>
            <w:tcW w:w="2977" w:type="pct"/>
          </w:tcPr>
          <w:p w:rsidR="001220AE" w:rsidRPr="00216038" w:rsidRDefault="00DB22B3" w:rsidP="003A7D32">
            <w:pPr>
              <w:pStyle w:val="TitlePagetext"/>
            </w:pPr>
            <w:r w:rsidRPr="00216038">
              <w:t>Hearing</w:t>
            </w:r>
          </w:p>
        </w:tc>
      </w:tr>
      <w:tr w:rsidR="001220AE" w:rsidRPr="00216038" w:rsidTr="003A7D32">
        <w:tc>
          <w:tcPr>
            <w:tcW w:w="2023" w:type="pct"/>
          </w:tcPr>
          <w:p w:rsidR="001220AE" w:rsidRPr="00216038" w:rsidRDefault="001220AE" w:rsidP="003A7D32">
            <w:pPr>
              <w:pStyle w:val="TitlePage2"/>
            </w:pPr>
            <w:r w:rsidRPr="00216038">
              <w:t>DATE OF HEARING</w:t>
            </w:r>
          </w:p>
        </w:tc>
        <w:tc>
          <w:tcPr>
            <w:tcW w:w="2977" w:type="pct"/>
          </w:tcPr>
          <w:p w:rsidR="001220AE" w:rsidRPr="00216038" w:rsidRDefault="00216038" w:rsidP="003A7D32">
            <w:pPr>
              <w:pStyle w:val="TitlePagetext"/>
            </w:pPr>
            <w:r w:rsidRPr="00216038">
              <w:t>25 March 2019</w:t>
            </w:r>
          </w:p>
        </w:tc>
      </w:tr>
      <w:tr w:rsidR="001220AE" w:rsidRPr="00216038" w:rsidTr="003A7D32">
        <w:tc>
          <w:tcPr>
            <w:tcW w:w="2023" w:type="pct"/>
          </w:tcPr>
          <w:p w:rsidR="001220AE" w:rsidRPr="00216038" w:rsidRDefault="001220AE" w:rsidP="003A7D32">
            <w:pPr>
              <w:pStyle w:val="TitlePage2"/>
            </w:pPr>
            <w:r w:rsidRPr="00216038">
              <w:t>DATE OF ORDER</w:t>
            </w:r>
          </w:p>
        </w:tc>
        <w:tc>
          <w:tcPr>
            <w:tcW w:w="2977" w:type="pct"/>
          </w:tcPr>
          <w:p w:rsidR="001220AE" w:rsidRPr="00216038" w:rsidRDefault="0010796D" w:rsidP="003A7D32">
            <w:pPr>
              <w:pStyle w:val="TitlePagetext"/>
            </w:pPr>
            <w:r>
              <w:t>23</w:t>
            </w:r>
            <w:r w:rsidR="00216038" w:rsidRPr="00216038">
              <w:t xml:space="preserve"> May 2019</w:t>
            </w:r>
          </w:p>
        </w:tc>
      </w:tr>
      <w:tr w:rsidR="001220AE" w:rsidRPr="00216038" w:rsidTr="003A7D32">
        <w:tc>
          <w:tcPr>
            <w:tcW w:w="2023" w:type="pct"/>
          </w:tcPr>
          <w:p w:rsidR="001220AE" w:rsidRPr="00216038" w:rsidRDefault="001220AE" w:rsidP="003A7D32">
            <w:pPr>
              <w:pStyle w:val="TitlePage2"/>
            </w:pPr>
            <w:r w:rsidRPr="00216038">
              <w:t>CITATION</w:t>
            </w:r>
          </w:p>
        </w:tc>
        <w:tc>
          <w:tcPr>
            <w:tcW w:w="2977" w:type="pct"/>
          </w:tcPr>
          <w:p w:rsidR="001220AE" w:rsidRPr="00216038" w:rsidRDefault="004B2E2A" w:rsidP="003A7D32">
            <w:pPr>
              <w:pStyle w:val="TitlePagetext"/>
            </w:pPr>
            <w:r>
              <w:t xml:space="preserve">Lu v Monash </w:t>
            </w:r>
            <w:r w:rsidR="00AB161B">
              <w:t>CC [2019] VCAT 781</w:t>
            </w:r>
          </w:p>
        </w:tc>
      </w:tr>
    </w:tbl>
    <w:p w:rsidR="00E200CF" w:rsidRPr="00854CE8" w:rsidRDefault="00E200CF" w:rsidP="00DB22B3">
      <w:pPr>
        <w:pStyle w:val="Heading1"/>
      </w:pPr>
      <w:r w:rsidRPr="00854CE8">
        <w:t>Order</w:t>
      </w:r>
    </w:p>
    <w:p w:rsidR="00854CE8" w:rsidRPr="00854CE8" w:rsidRDefault="00854CE8" w:rsidP="00854CE8">
      <w:pPr>
        <w:pStyle w:val="Heading3"/>
      </w:pPr>
      <w:r w:rsidRPr="00854CE8">
        <w:t>Permit amended</w:t>
      </w:r>
    </w:p>
    <w:p w:rsidR="00854CE8" w:rsidRPr="00854CE8" w:rsidRDefault="00854CE8" w:rsidP="00854CE8">
      <w:pPr>
        <w:pStyle w:val="Order2"/>
      </w:pPr>
      <w:r w:rsidRPr="00854CE8">
        <w:t xml:space="preserve">In application P1836/2018 the decision of the </w:t>
      </w:r>
      <w:r w:rsidR="0038483E">
        <w:t>Responsible Authority</w:t>
      </w:r>
      <w:r w:rsidRPr="00854CE8">
        <w:t xml:space="preserve"> is varied.  </w:t>
      </w:r>
    </w:p>
    <w:p w:rsidR="00854CE8" w:rsidRDefault="00854CE8" w:rsidP="00854CE8">
      <w:pPr>
        <w:pStyle w:val="Order2"/>
      </w:pPr>
      <w:r w:rsidRPr="00854CE8">
        <w:t>Planning permit TPA/48692 is amended and an amended permit is directed to be issued</w:t>
      </w:r>
      <w:r>
        <w:t xml:space="preserve"> for the land at 14 Woonah Street, Chadstone.  The permit is amended as follows.</w:t>
      </w:r>
    </w:p>
    <w:p w:rsidR="00854CE8" w:rsidRDefault="00854CE8" w:rsidP="00854CE8">
      <w:pPr>
        <w:pStyle w:val="Order2"/>
      </w:pPr>
      <w:r>
        <w:t>Conditions in the permit are amended as follows:</w:t>
      </w:r>
    </w:p>
    <w:p w:rsidR="00854CE8" w:rsidRDefault="00854CE8" w:rsidP="00854CE8">
      <w:pPr>
        <w:pStyle w:val="Order2"/>
        <w:numPr>
          <w:ilvl w:val="1"/>
          <w:numId w:val="8"/>
        </w:numPr>
      </w:pPr>
      <w:r>
        <w:t xml:space="preserve">Conditions 1(a), 1(b), 1(c), 1(d), 1(e), 1(f), 1(g), 1(k) and 1(m) are deleted.  </w:t>
      </w:r>
    </w:p>
    <w:p w:rsidR="00E200CF" w:rsidRPr="00216038" w:rsidRDefault="00854CE8" w:rsidP="007B3A47">
      <w:pPr>
        <w:pStyle w:val="Order2"/>
        <w:numPr>
          <w:ilvl w:val="1"/>
          <w:numId w:val="8"/>
        </w:numPr>
      </w:pPr>
      <w:r>
        <w:t>Conditions in the permit are re</w:t>
      </w:r>
      <w:r w:rsidR="00745C0A">
        <w:t>-</w:t>
      </w:r>
      <w:r>
        <w:t>lettered accordingly.</w:t>
      </w:r>
    </w:p>
    <w:p w:rsidR="00E200CF" w:rsidRPr="00216038" w:rsidRDefault="00E200CF" w:rsidP="00E200CF"/>
    <w:p w:rsidR="00E200CF" w:rsidRPr="00216038" w:rsidRDefault="00E200CF" w:rsidP="00E200CF"/>
    <w:tbl>
      <w:tblPr>
        <w:tblW w:w="5000" w:type="pct"/>
        <w:tblLook w:val="0000" w:firstRow="0" w:lastRow="0" w:firstColumn="0" w:lastColumn="0" w:noHBand="0" w:noVBand="0"/>
      </w:tblPr>
      <w:tblGrid>
        <w:gridCol w:w="3562"/>
        <w:gridCol w:w="1936"/>
        <w:gridCol w:w="3007"/>
      </w:tblGrid>
      <w:tr w:rsidR="00E200CF" w:rsidRPr="00216038" w:rsidTr="00152595">
        <w:tc>
          <w:tcPr>
            <w:tcW w:w="2094" w:type="pct"/>
          </w:tcPr>
          <w:p w:rsidR="002A417A" w:rsidRPr="00216038" w:rsidRDefault="00087ECE" w:rsidP="00152595">
            <w:pPr>
              <w:tabs>
                <w:tab w:val="left" w:pos="1515"/>
              </w:tabs>
              <w:rPr>
                <w:b/>
              </w:rPr>
            </w:pPr>
            <w:bookmarkStart w:id="3" w:name="DELappearances"/>
            <w:r w:rsidRPr="00216038">
              <w:rPr>
                <w:b/>
              </w:rPr>
              <w:t>Alison Slattery</w:t>
            </w:r>
          </w:p>
          <w:p w:rsidR="002A417A" w:rsidRPr="00216038" w:rsidRDefault="002A417A" w:rsidP="00152595">
            <w:pPr>
              <w:tabs>
                <w:tab w:val="left" w:pos="1515"/>
              </w:tabs>
              <w:rPr>
                <w:b/>
              </w:rPr>
            </w:pPr>
            <w:r w:rsidRPr="00216038">
              <w:rPr>
                <w:b/>
              </w:rPr>
              <w:t>Member</w:t>
            </w:r>
          </w:p>
        </w:tc>
        <w:tc>
          <w:tcPr>
            <w:tcW w:w="1138" w:type="pct"/>
          </w:tcPr>
          <w:p w:rsidR="00E200CF" w:rsidRPr="00216038" w:rsidRDefault="00E200CF" w:rsidP="00152595"/>
        </w:tc>
        <w:tc>
          <w:tcPr>
            <w:tcW w:w="1768" w:type="pct"/>
          </w:tcPr>
          <w:p w:rsidR="00E200CF" w:rsidRPr="00216038" w:rsidRDefault="00E200CF" w:rsidP="00152595"/>
        </w:tc>
      </w:tr>
    </w:tbl>
    <w:p w:rsidR="00E200CF" w:rsidRPr="004151FC" w:rsidRDefault="00E200CF" w:rsidP="00E200CF">
      <w:pPr>
        <w:rPr>
          <w:highlight w:val="yellow"/>
        </w:rPr>
      </w:pPr>
    </w:p>
    <w:p w:rsidR="00E200CF" w:rsidRPr="004151FC" w:rsidRDefault="005671E7" w:rsidP="00E200CF">
      <w:pPr>
        <w:rPr>
          <w:highlight w:val="yellow"/>
        </w:rPr>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E200CF" w:rsidRPr="00216038" w:rsidRDefault="00E200CF" w:rsidP="00E200CF">
      <w:pPr>
        <w:pStyle w:val="Heading1"/>
      </w:pPr>
      <w:r w:rsidRPr="00216038">
        <w:t>Appearances</w:t>
      </w:r>
    </w:p>
    <w:tbl>
      <w:tblPr>
        <w:tblW w:w="5000" w:type="pct"/>
        <w:tblLook w:val="0000" w:firstRow="0" w:lastRow="0" w:firstColumn="0" w:lastColumn="0" w:noHBand="0" w:noVBand="0"/>
      </w:tblPr>
      <w:tblGrid>
        <w:gridCol w:w="8284"/>
        <w:gridCol w:w="221"/>
      </w:tblGrid>
      <w:tr w:rsidR="006A0FB3" w:rsidRPr="00216038" w:rsidTr="00216038">
        <w:trPr>
          <w:cantSplit/>
        </w:trPr>
        <w:tc>
          <w:tcPr>
            <w:tcW w:w="4873" w:type="pct"/>
          </w:tcPr>
          <w:tbl>
            <w:tblPr>
              <w:tblW w:w="9108" w:type="dxa"/>
              <w:tblLook w:val="0000" w:firstRow="0" w:lastRow="0" w:firstColumn="0" w:lastColumn="0" w:noHBand="0" w:noVBand="0"/>
            </w:tblPr>
            <w:tblGrid>
              <w:gridCol w:w="2988"/>
              <w:gridCol w:w="6120"/>
            </w:tblGrid>
            <w:tr w:rsidR="006A0FB3" w:rsidRPr="00216038" w:rsidTr="00126729">
              <w:trPr>
                <w:cantSplit/>
              </w:trPr>
              <w:tc>
                <w:tcPr>
                  <w:tcW w:w="2988" w:type="dxa"/>
                </w:tcPr>
                <w:p w:rsidR="006A0FB3" w:rsidRPr="00216038" w:rsidRDefault="006A0FB3" w:rsidP="006A0FB3">
                  <w:pPr>
                    <w:pStyle w:val="TitlePagetext"/>
                    <w:ind w:right="-131"/>
                  </w:pPr>
                  <w:r w:rsidRPr="00216038">
                    <w:t xml:space="preserve">For Review Applicant </w:t>
                  </w:r>
                </w:p>
              </w:tc>
              <w:tc>
                <w:tcPr>
                  <w:tcW w:w="6120" w:type="dxa"/>
                </w:tcPr>
                <w:p w:rsidR="00216038" w:rsidRPr="00216038" w:rsidRDefault="00216038" w:rsidP="006A0FB3">
                  <w:pPr>
                    <w:pStyle w:val="TitlePagetext"/>
                  </w:pPr>
                  <w:r w:rsidRPr="00216038">
                    <w:t>Mr Mark Waldon</w:t>
                  </w:r>
                  <w:r w:rsidR="006A0FB3" w:rsidRPr="00216038">
                    <w:t xml:space="preserve">, Town Planner of </w:t>
                  </w:r>
                  <w:r w:rsidRPr="00216038">
                    <w:t>St Wise</w:t>
                  </w:r>
                  <w:r w:rsidR="006A0FB3" w:rsidRPr="00216038">
                    <w:t xml:space="preserve"> </w:t>
                  </w:r>
                </w:p>
              </w:tc>
            </w:tr>
            <w:tr w:rsidR="006A0FB3" w:rsidRPr="00216038" w:rsidTr="00126729">
              <w:trPr>
                <w:cantSplit/>
              </w:trPr>
              <w:tc>
                <w:tcPr>
                  <w:tcW w:w="2988" w:type="dxa"/>
                </w:tcPr>
                <w:p w:rsidR="006A0FB3" w:rsidRPr="00216038" w:rsidRDefault="006A0FB3" w:rsidP="006A0FB3">
                  <w:pPr>
                    <w:pStyle w:val="TitlePagetext"/>
                    <w:ind w:right="-131"/>
                  </w:pPr>
                  <w:r w:rsidRPr="00216038">
                    <w:t xml:space="preserve">For </w:t>
                  </w:r>
                  <w:r w:rsidR="0038483E">
                    <w:t>Responsible Authority</w:t>
                  </w:r>
                </w:p>
                <w:p w:rsidR="00216038" w:rsidRPr="00216038" w:rsidRDefault="00216038" w:rsidP="006A0FB3">
                  <w:pPr>
                    <w:pStyle w:val="TitlePagetext"/>
                    <w:ind w:right="-131"/>
                  </w:pPr>
                </w:p>
                <w:p w:rsidR="00216038" w:rsidRPr="00216038" w:rsidRDefault="00216038" w:rsidP="006A0FB3">
                  <w:pPr>
                    <w:pStyle w:val="TitlePagetext"/>
                    <w:ind w:right="-131"/>
                  </w:pPr>
                  <w:r w:rsidRPr="00216038">
                    <w:t>For Respondent</w:t>
                  </w:r>
                </w:p>
              </w:tc>
              <w:tc>
                <w:tcPr>
                  <w:tcW w:w="6120" w:type="dxa"/>
                </w:tcPr>
                <w:p w:rsidR="00216038" w:rsidRPr="00216038" w:rsidRDefault="00216038" w:rsidP="006A0FB3">
                  <w:pPr>
                    <w:pStyle w:val="TitlePagetext"/>
                  </w:pPr>
                  <w:r w:rsidRPr="00216038">
                    <w:t>Mr David De Giovanni</w:t>
                  </w:r>
                  <w:r w:rsidR="006A0FB3" w:rsidRPr="00216038">
                    <w:t xml:space="preserve">, Town Planner of </w:t>
                  </w:r>
                  <w:r w:rsidRPr="00216038">
                    <w:t>DD</w:t>
                  </w:r>
                  <w:r w:rsidR="006A0FB3" w:rsidRPr="00216038">
                    <w:t xml:space="preserve"> </w:t>
                  </w:r>
                </w:p>
                <w:p w:rsidR="00216038" w:rsidRPr="00216038" w:rsidRDefault="006A0FB3" w:rsidP="006A0FB3">
                  <w:pPr>
                    <w:pStyle w:val="TitlePagetext"/>
                  </w:pPr>
                  <w:r w:rsidRPr="00216038">
                    <w:t xml:space="preserve">Planning </w:t>
                  </w:r>
                </w:p>
                <w:p w:rsidR="00216038" w:rsidRPr="00216038" w:rsidRDefault="00216038" w:rsidP="006A0FB3">
                  <w:pPr>
                    <w:pStyle w:val="TitlePagetext"/>
                  </w:pPr>
                  <w:r w:rsidRPr="00216038">
                    <w:t>Mr R Gunsberger</w:t>
                  </w:r>
                </w:p>
              </w:tc>
            </w:tr>
          </w:tbl>
          <w:p w:rsidR="006A0FB3" w:rsidRPr="00216038" w:rsidRDefault="006A0FB3" w:rsidP="00152595">
            <w:pPr>
              <w:pStyle w:val="TitlePagetext"/>
            </w:pPr>
          </w:p>
        </w:tc>
        <w:tc>
          <w:tcPr>
            <w:tcW w:w="127" w:type="pct"/>
          </w:tcPr>
          <w:p w:rsidR="006A0FB3" w:rsidRPr="00216038" w:rsidRDefault="006A0FB3" w:rsidP="00152595">
            <w:pPr>
              <w:pStyle w:val="TitlePagetext"/>
            </w:pPr>
          </w:p>
        </w:tc>
      </w:tr>
    </w:tbl>
    <w:bookmarkEnd w:id="3"/>
    <w:p w:rsidR="00E200CF" w:rsidRPr="00216038" w:rsidRDefault="00E200CF" w:rsidP="00E200CF">
      <w:pPr>
        <w:pStyle w:val="Heading1"/>
      </w:pPr>
      <w:r w:rsidRPr="00216038">
        <w:t>Information</w:t>
      </w:r>
    </w:p>
    <w:tbl>
      <w:tblPr>
        <w:tblW w:w="5000" w:type="pct"/>
        <w:tblLook w:val="0000" w:firstRow="0" w:lastRow="0" w:firstColumn="0" w:lastColumn="0" w:noHBand="0" w:noVBand="0"/>
      </w:tblPr>
      <w:tblGrid>
        <w:gridCol w:w="3273"/>
        <w:gridCol w:w="5232"/>
      </w:tblGrid>
      <w:tr w:rsidR="00E200CF" w:rsidRPr="0060495C" w:rsidTr="00152595">
        <w:trPr>
          <w:cantSplit/>
        </w:trPr>
        <w:tc>
          <w:tcPr>
            <w:tcW w:w="1924" w:type="pct"/>
          </w:tcPr>
          <w:p w:rsidR="00E200CF" w:rsidRPr="0060495C" w:rsidRDefault="00E200CF" w:rsidP="00152595">
            <w:pPr>
              <w:pStyle w:val="TitlePagetext"/>
            </w:pPr>
            <w:r w:rsidRPr="0060495C">
              <w:t>Description of proposal</w:t>
            </w:r>
          </w:p>
        </w:tc>
        <w:tc>
          <w:tcPr>
            <w:tcW w:w="3076" w:type="pct"/>
          </w:tcPr>
          <w:p w:rsidR="00E200CF" w:rsidRPr="0060495C" w:rsidRDefault="00B86536" w:rsidP="00152595">
            <w:pPr>
              <w:pStyle w:val="TitlePagetext"/>
            </w:pPr>
            <w:r w:rsidRPr="0060495C">
              <w:t xml:space="preserve">Construction of </w:t>
            </w:r>
            <w:r w:rsidR="00854CE8" w:rsidRPr="0060495C">
              <w:t xml:space="preserve">three double storey dwellings </w:t>
            </w:r>
            <w:r w:rsidR="0060495C" w:rsidRPr="0060495C">
              <w:t xml:space="preserve">down the length of the lot with vehicular access taken down one side of the lot to all </w:t>
            </w:r>
            <w:r w:rsidR="00CD5182">
              <w:t xml:space="preserve">three </w:t>
            </w:r>
            <w:r w:rsidR="0060495C" w:rsidRPr="0060495C">
              <w:t xml:space="preserve">dwellings.  </w:t>
            </w:r>
          </w:p>
          <w:p w:rsidR="00C755D1" w:rsidRPr="0060495C" w:rsidRDefault="00C755D1" w:rsidP="00152595">
            <w:pPr>
              <w:pStyle w:val="TitlePagetext"/>
            </w:pPr>
            <w:r w:rsidRPr="0060495C">
              <w:t xml:space="preserve">This is an application against the conditions requiring </w:t>
            </w:r>
            <w:r w:rsidR="0060495C" w:rsidRPr="0060495C">
              <w:t>the front setback increased</w:t>
            </w:r>
            <w:r w:rsidR="00CD5182">
              <w:t>, changes to the garage</w:t>
            </w:r>
            <w:r w:rsidR="0060495C" w:rsidRPr="0060495C">
              <w:t xml:space="preserve"> and the relocation of the garden shed.</w:t>
            </w:r>
          </w:p>
        </w:tc>
      </w:tr>
      <w:tr w:rsidR="00E200CF" w:rsidRPr="00854CE8" w:rsidTr="00152595">
        <w:trPr>
          <w:cantSplit/>
        </w:trPr>
        <w:tc>
          <w:tcPr>
            <w:tcW w:w="1924" w:type="pct"/>
          </w:tcPr>
          <w:p w:rsidR="00E200CF" w:rsidRPr="00854CE8" w:rsidRDefault="00E200CF" w:rsidP="00152595">
            <w:pPr>
              <w:pStyle w:val="TitlePagetext"/>
            </w:pPr>
            <w:r w:rsidRPr="00854CE8">
              <w:t>Nature of proceeding</w:t>
            </w:r>
          </w:p>
        </w:tc>
        <w:tc>
          <w:tcPr>
            <w:tcW w:w="3076" w:type="pct"/>
          </w:tcPr>
          <w:p w:rsidR="00E200CF" w:rsidRPr="00854CE8" w:rsidRDefault="00E200CF" w:rsidP="00152595">
            <w:pPr>
              <w:pStyle w:val="TitlePagetext"/>
            </w:pPr>
            <w:r w:rsidRPr="00854CE8">
              <w:t xml:space="preserve">Application under </w:t>
            </w:r>
            <w:r w:rsidR="002879FC" w:rsidRPr="00854CE8">
              <w:t>Section</w:t>
            </w:r>
            <w:r w:rsidR="000342AB" w:rsidRPr="00854CE8">
              <w:t xml:space="preserve"> 80</w:t>
            </w:r>
            <w:r w:rsidRPr="00854CE8">
              <w:t xml:space="preserve"> of the </w:t>
            </w:r>
            <w:r w:rsidRPr="00854CE8">
              <w:rPr>
                <w:i/>
              </w:rPr>
              <w:t>Planning and Environment Act 1987</w:t>
            </w:r>
            <w:r w:rsidRPr="00854CE8">
              <w:t xml:space="preserve"> – to review the decision to grant a permit.</w:t>
            </w:r>
          </w:p>
        </w:tc>
      </w:tr>
      <w:tr w:rsidR="00E200CF" w:rsidRPr="00854CE8" w:rsidTr="00152595">
        <w:trPr>
          <w:cantSplit/>
        </w:trPr>
        <w:tc>
          <w:tcPr>
            <w:tcW w:w="1924" w:type="pct"/>
          </w:tcPr>
          <w:p w:rsidR="00E200CF" w:rsidRPr="00854CE8" w:rsidRDefault="00E200CF" w:rsidP="00152595">
            <w:pPr>
              <w:pStyle w:val="TitlePagetext"/>
            </w:pPr>
            <w:r w:rsidRPr="00854CE8">
              <w:t>Planning scheme</w:t>
            </w:r>
          </w:p>
        </w:tc>
        <w:tc>
          <w:tcPr>
            <w:tcW w:w="3076" w:type="pct"/>
          </w:tcPr>
          <w:p w:rsidR="00E200CF" w:rsidRPr="00854CE8" w:rsidRDefault="00142E9E" w:rsidP="00152595">
            <w:pPr>
              <w:pStyle w:val="TitlePagetext"/>
            </w:pPr>
            <w:r w:rsidRPr="00854CE8">
              <w:t>Monash</w:t>
            </w:r>
            <w:r w:rsidR="00B86536" w:rsidRPr="00854CE8">
              <w:t xml:space="preserve"> Planning Scheme </w:t>
            </w:r>
          </w:p>
        </w:tc>
      </w:tr>
      <w:tr w:rsidR="00E200CF" w:rsidRPr="0060495C" w:rsidTr="00152595">
        <w:trPr>
          <w:cantSplit/>
        </w:trPr>
        <w:tc>
          <w:tcPr>
            <w:tcW w:w="1924" w:type="pct"/>
          </w:tcPr>
          <w:p w:rsidR="00E200CF" w:rsidRPr="0060495C" w:rsidRDefault="00E200CF" w:rsidP="00152595">
            <w:pPr>
              <w:pStyle w:val="TitlePagetext"/>
            </w:pPr>
            <w:r w:rsidRPr="0060495C">
              <w:t>Zone and overlays</w:t>
            </w:r>
          </w:p>
        </w:tc>
        <w:tc>
          <w:tcPr>
            <w:tcW w:w="3076" w:type="pct"/>
          </w:tcPr>
          <w:p w:rsidR="00B86536" w:rsidRPr="0060495C" w:rsidRDefault="00B86536" w:rsidP="00152595">
            <w:pPr>
              <w:pStyle w:val="TitlePagetext"/>
            </w:pPr>
            <w:r w:rsidRPr="0060495C">
              <w:t>General Residential Zone Schedule 2 (GRZ2)</w:t>
            </w:r>
          </w:p>
        </w:tc>
      </w:tr>
      <w:tr w:rsidR="00E200CF" w:rsidRPr="0060495C" w:rsidTr="00152595">
        <w:trPr>
          <w:cantSplit/>
        </w:trPr>
        <w:tc>
          <w:tcPr>
            <w:tcW w:w="1924" w:type="pct"/>
          </w:tcPr>
          <w:p w:rsidR="00E200CF" w:rsidRPr="0060495C" w:rsidRDefault="00E200CF" w:rsidP="00152595">
            <w:pPr>
              <w:pStyle w:val="TitlePagetext"/>
            </w:pPr>
            <w:r w:rsidRPr="0060495C">
              <w:t>Permit requirements</w:t>
            </w:r>
          </w:p>
        </w:tc>
        <w:tc>
          <w:tcPr>
            <w:tcW w:w="3076" w:type="pct"/>
          </w:tcPr>
          <w:p w:rsidR="00B86536" w:rsidRPr="0060495C" w:rsidRDefault="00B86536" w:rsidP="0060495C">
            <w:pPr>
              <w:pStyle w:val="TitlePagetext"/>
            </w:pPr>
            <w:r w:rsidRPr="0060495C">
              <w:t>Clause 32.08-</w:t>
            </w:r>
            <w:r w:rsidR="0060495C" w:rsidRPr="0060495C">
              <w:t>6</w:t>
            </w:r>
            <w:r w:rsidRPr="0060495C">
              <w:t xml:space="preserve">- construction </w:t>
            </w:r>
            <w:r w:rsidR="0060495C" w:rsidRPr="0060495C">
              <w:t xml:space="preserve">of more than one </w:t>
            </w:r>
            <w:r w:rsidRPr="0060495C">
              <w:t>dwelling on a lot</w:t>
            </w:r>
            <w:r w:rsidR="0060495C" w:rsidRPr="0060495C">
              <w:t>.</w:t>
            </w:r>
            <w:r w:rsidRPr="0060495C">
              <w:t xml:space="preserve"> </w:t>
            </w:r>
          </w:p>
        </w:tc>
      </w:tr>
      <w:tr w:rsidR="00E200CF" w:rsidRPr="00107FCF" w:rsidTr="00152595">
        <w:trPr>
          <w:cantSplit/>
        </w:trPr>
        <w:tc>
          <w:tcPr>
            <w:tcW w:w="1924" w:type="pct"/>
          </w:tcPr>
          <w:p w:rsidR="00E200CF" w:rsidRPr="00107FCF" w:rsidRDefault="00E200CF" w:rsidP="00152595">
            <w:pPr>
              <w:pStyle w:val="TitlePagetext"/>
            </w:pPr>
            <w:r w:rsidRPr="00107FCF">
              <w:t>Relevant scheme policies and provisions</w:t>
            </w:r>
          </w:p>
        </w:tc>
        <w:tc>
          <w:tcPr>
            <w:tcW w:w="3076" w:type="pct"/>
          </w:tcPr>
          <w:p w:rsidR="00E200CF" w:rsidRPr="00107FCF" w:rsidRDefault="00107FCF" w:rsidP="00152595">
            <w:pPr>
              <w:pStyle w:val="TitlePagetext"/>
            </w:pPr>
            <w:r w:rsidRPr="00107FCF">
              <w:t xml:space="preserve">9, 11, </w:t>
            </w:r>
            <w:r w:rsidR="00B86536" w:rsidRPr="00107FCF">
              <w:t>15</w:t>
            </w:r>
            <w:r w:rsidRPr="00107FCF">
              <w:t>.01, 15.02, 16.01, 18, 21.01, 21.04, 21.08, 22.01, 52.06</w:t>
            </w:r>
            <w:r w:rsidR="00C755D1" w:rsidRPr="00107FCF">
              <w:t xml:space="preserve">, </w:t>
            </w:r>
            <w:r w:rsidR="009D7147" w:rsidRPr="00107FCF">
              <w:t>5</w:t>
            </w:r>
            <w:r w:rsidRPr="00107FCF">
              <w:t>5</w:t>
            </w:r>
            <w:r w:rsidR="00B86536" w:rsidRPr="00107FCF">
              <w:t xml:space="preserve"> and 65</w:t>
            </w:r>
          </w:p>
        </w:tc>
      </w:tr>
      <w:tr w:rsidR="00E200CF" w:rsidRPr="00B115FA" w:rsidTr="00152595">
        <w:trPr>
          <w:cantSplit/>
        </w:trPr>
        <w:tc>
          <w:tcPr>
            <w:tcW w:w="1924" w:type="pct"/>
          </w:tcPr>
          <w:p w:rsidR="00E200CF" w:rsidRPr="00B115FA" w:rsidRDefault="005671E7" w:rsidP="00152595">
            <w:pPr>
              <w:pStyle w:val="TitlePagetext"/>
            </w:pPr>
            <w:r>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rsidRPr="00B115FA">
              <w:t>Land description</w:t>
            </w:r>
          </w:p>
        </w:tc>
        <w:tc>
          <w:tcPr>
            <w:tcW w:w="3076" w:type="pct"/>
          </w:tcPr>
          <w:p w:rsidR="009D7147" w:rsidRPr="00B115FA" w:rsidRDefault="009D7147" w:rsidP="009D7147">
            <w:pPr>
              <w:pStyle w:val="Para1"/>
              <w:numPr>
                <w:ilvl w:val="0"/>
                <w:numId w:val="0"/>
              </w:numPr>
              <w:tabs>
                <w:tab w:val="left" w:pos="720"/>
              </w:tabs>
            </w:pPr>
            <w:r w:rsidRPr="00B115FA">
              <w:t xml:space="preserve">The review site is located on the southern </w:t>
            </w:r>
            <w:r w:rsidR="00B72A36" w:rsidRPr="00B115FA">
              <w:t xml:space="preserve">side of </w:t>
            </w:r>
            <w:r w:rsidR="00216038" w:rsidRPr="00B115FA">
              <w:t>Woonah Street</w:t>
            </w:r>
            <w:r w:rsidR="00B72A36" w:rsidRPr="00B115FA">
              <w:t xml:space="preserve">, around </w:t>
            </w:r>
            <w:r w:rsidR="00107FCF" w:rsidRPr="00B115FA">
              <w:t>30</w:t>
            </w:r>
            <w:r w:rsidR="00B72A36" w:rsidRPr="00B115FA">
              <w:t xml:space="preserve"> metres to the </w:t>
            </w:r>
            <w:r w:rsidR="00107FCF" w:rsidRPr="00B115FA">
              <w:t>w</w:t>
            </w:r>
            <w:r w:rsidR="00B72A36" w:rsidRPr="00B115FA">
              <w:t xml:space="preserve">est of the intersection with </w:t>
            </w:r>
            <w:r w:rsidR="00107FCF" w:rsidRPr="00B115FA">
              <w:t>Vision Street</w:t>
            </w:r>
            <w:r w:rsidR="00B72A36" w:rsidRPr="00B115FA">
              <w:t xml:space="preserve">.  </w:t>
            </w:r>
          </w:p>
          <w:p w:rsidR="009D7147" w:rsidRPr="00B115FA" w:rsidRDefault="009D7147" w:rsidP="009D7147">
            <w:pPr>
              <w:pStyle w:val="Para1"/>
              <w:numPr>
                <w:ilvl w:val="0"/>
                <w:numId w:val="0"/>
              </w:numPr>
              <w:tabs>
                <w:tab w:val="left" w:pos="720"/>
              </w:tabs>
            </w:pPr>
            <w:r w:rsidRPr="00B115FA">
              <w:t>The site is</w:t>
            </w:r>
            <w:r w:rsidR="00B72A36" w:rsidRPr="00B115FA">
              <w:t xml:space="preserve"> </w:t>
            </w:r>
            <w:r w:rsidR="00FA093F" w:rsidRPr="00B115FA">
              <w:t xml:space="preserve">rectilinear but not </w:t>
            </w:r>
            <w:r w:rsidRPr="00B115FA">
              <w:t>rectangular in shape with a frontage of 1</w:t>
            </w:r>
            <w:r w:rsidR="00107FCF" w:rsidRPr="00B115FA">
              <w:t>7.23</w:t>
            </w:r>
            <w:r w:rsidRPr="00B115FA">
              <w:t xml:space="preserve"> metres to </w:t>
            </w:r>
            <w:r w:rsidR="00216038" w:rsidRPr="00B115FA">
              <w:t>Woonah Street</w:t>
            </w:r>
            <w:r w:rsidR="00FA093F" w:rsidRPr="00B115FA">
              <w:t xml:space="preserve"> and a maximum </w:t>
            </w:r>
            <w:r w:rsidRPr="00B115FA">
              <w:t xml:space="preserve">depth of </w:t>
            </w:r>
            <w:r w:rsidR="00107FCF" w:rsidRPr="00B115FA">
              <w:t>56</w:t>
            </w:r>
            <w:r w:rsidR="00B72A36" w:rsidRPr="00B115FA">
              <w:t xml:space="preserve"> </w:t>
            </w:r>
            <w:r w:rsidRPr="00B115FA">
              <w:t>metres for a total area of</w:t>
            </w:r>
            <w:r w:rsidR="00FA093F" w:rsidRPr="00B115FA">
              <w:t xml:space="preserve"> </w:t>
            </w:r>
            <w:r w:rsidR="00107FCF" w:rsidRPr="00B115FA">
              <w:t>938</w:t>
            </w:r>
            <w:r w:rsidRPr="00B115FA">
              <w:t xml:space="preserve"> square metres. The land is presently occupied by a single storey </w:t>
            </w:r>
            <w:r w:rsidR="00107FCF" w:rsidRPr="00B115FA">
              <w:t xml:space="preserve">rendered </w:t>
            </w:r>
            <w:r w:rsidRPr="00B115FA">
              <w:t xml:space="preserve">dwelling, with vehicular access taken from </w:t>
            </w:r>
            <w:r w:rsidR="00FA093F" w:rsidRPr="00B115FA">
              <w:t xml:space="preserve">the </w:t>
            </w:r>
            <w:r w:rsidR="00107FCF" w:rsidRPr="00B115FA">
              <w:t>eastern portion of the frontage.</w:t>
            </w:r>
            <w:r w:rsidRPr="00B115FA">
              <w:t xml:space="preserve">  The site i</w:t>
            </w:r>
            <w:r w:rsidR="00107FCF" w:rsidRPr="00B115FA">
              <w:t xml:space="preserve">ncludes a fall from the rear to the front of the site of around 2 metres.  The site contains vegetation in line with a garden setting, including some trees.  </w:t>
            </w:r>
            <w:r w:rsidRPr="00B115FA">
              <w:t xml:space="preserve">  </w:t>
            </w:r>
          </w:p>
          <w:p w:rsidR="009D7147" w:rsidRPr="00B115FA" w:rsidRDefault="009D7147" w:rsidP="009D7147">
            <w:pPr>
              <w:pStyle w:val="TitlePagetext"/>
            </w:pPr>
            <w:r w:rsidRPr="00B115FA">
              <w:t>Surrounding sites generally include single and double storey dwellings of varied ages</w:t>
            </w:r>
            <w:r w:rsidR="00107FCF" w:rsidRPr="00B115FA">
              <w:t xml:space="preserve"> with multi unit development evident as the emerging infill (as seen to the west at 12 Woonah including three double storey dwellings)</w:t>
            </w:r>
            <w:r w:rsidRPr="00B115FA">
              <w:t>.  Vegetation in the area is varied</w:t>
            </w:r>
          </w:p>
          <w:p w:rsidR="00E200CF" w:rsidRPr="00B115FA" w:rsidRDefault="00B72A36" w:rsidP="009D7147">
            <w:pPr>
              <w:pStyle w:val="TitlePagetext"/>
            </w:pPr>
            <w:r w:rsidRPr="00B115FA">
              <w:t xml:space="preserve">The area </w:t>
            </w:r>
            <w:r w:rsidR="009D7147" w:rsidRPr="00B115FA">
              <w:t xml:space="preserve">has good access to public transport with bus and train access within close proximity.  </w:t>
            </w:r>
          </w:p>
        </w:tc>
      </w:tr>
      <w:tr w:rsidR="00E200CF" w:rsidRPr="0060495C" w:rsidTr="00152595">
        <w:trPr>
          <w:cantSplit/>
        </w:trPr>
        <w:tc>
          <w:tcPr>
            <w:tcW w:w="1924" w:type="pct"/>
          </w:tcPr>
          <w:p w:rsidR="00E200CF" w:rsidRPr="0060495C" w:rsidRDefault="00E200CF" w:rsidP="00152595">
            <w:pPr>
              <w:pStyle w:val="TitlePagetext"/>
            </w:pPr>
            <w:r w:rsidRPr="0060495C">
              <w:t>Tribunal inspection</w:t>
            </w:r>
          </w:p>
        </w:tc>
        <w:tc>
          <w:tcPr>
            <w:tcW w:w="3076" w:type="pct"/>
          </w:tcPr>
          <w:p w:rsidR="00E200CF" w:rsidRPr="0060495C" w:rsidRDefault="009D7147" w:rsidP="00152595">
            <w:pPr>
              <w:pStyle w:val="TitlePagetext"/>
            </w:pPr>
            <w:r w:rsidRPr="0060495C">
              <w:t xml:space="preserve">The Tribunal </w:t>
            </w:r>
            <w:r w:rsidR="0053467C" w:rsidRPr="0060495C">
              <w:t>conducted an unaccompanied site inspection of the area after the hearing.</w:t>
            </w:r>
            <w:r w:rsidR="00E200CF" w:rsidRPr="0060495C">
              <w:t xml:space="preserve">   </w:t>
            </w:r>
          </w:p>
        </w:tc>
      </w:tr>
    </w:tbl>
    <w:p w:rsidR="00E200CF" w:rsidRPr="004151FC" w:rsidRDefault="00E200CF" w:rsidP="00E200CF">
      <w:pPr>
        <w:pStyle w:val="Order1"/>
        <w:rPr>
          <w:highlight w:val="yellow"/>
        </w:rPr>
      </w:pPr>
    </w:p>
    <w:p w:rsidR="00D97B4C" w:rsidRPr="0060495C" w:rsidRDefault="00E200CF" w:rsidP="00D97B4C">
      <w:pPr>
        <w:pStyle w:val="Heading1"/>
      </w:pPr>
      <w:r w:rsidRPr="004151FC">
        <w:rPr>
          <w:highlight w:val="yellow"/>
        </w:rPr>
        <w:br w:type="page"/>
      </w:r>
      <w:r w:rsidR="005671E7">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97B4C" w:rsidRPr="0060495C">
        <w:t>Reasons</w:t>
      </w:r>
      <w:r w:rsidR="00D97B4C" w:rsidRPr="0060495C">
        <w:rPr>
          <w:rStyle w:val="FootnoteReference"/>
        </w:rPr>
        <w:footnoteReference w:id="1"/>
      </w:r>
    </w:p>
    <w:p w:rsidR="00D97B4C" w:rsidRPr="0060495C" w:rsidRDefault="00D97B4C" w:rsidP="00D97B4C">
      <w:pPr>
        <w:pStyle w:val="Heading2"/>
      </w:pPr>
      <w:r w:rsidRPr="0060495C">
        <w:t>What is this proceeding about?</w:t>
      </w:r>
    </w:p>
    <w:p w:rsidR="00D97B4C" w:rsidRPr="0060495C" w:rsidRDefault="00142E9E" w:rsidP="00D97B4C">
      <w:pPr>
        <w:pStyle w:val="Order2"/>
        <w:numPr>
          <w:ilvl w:val="0"/>
          <w:numId w:val="33"/>
        </w:numPr>
      </w:pPr>
      <w:r w:rsidRPr="0060495C">
        <w:t>Monash</w:t>
      </w:r>
      <w:r w:rsidR="00D97B4C" w:rsidRPr="0060495C">
        <w:t xml:space="preserve"> City Council issued a permit to develop the land at </w:t>
      </w:r>
      <w:r w:rsidR="00216038" w:rsidRPr="0060495C">
        <w:t>14 Woonah Street, Chadstone</w:t>
      </w:r>
      <w:r w:rsidR="00D97B4C" w:rsidRPr="0060495C">
        <w:t xml:space="preserve"> for the construction of </w:t>
      </w:r>
      <w:r w:rsidR="0060495C" w:rsidRPr="0060495C">
        <w:t xml:space="preserve">three double </w:t>
      </w:r>
      <w:r w:rsidR="00D97B4C" w:rsidRPr="0060495C">
        <w:t xml:space="preserve">storey </w:t>
      </w:r>
      <w:r w:rsidR="0060495C" w:rsidRPr="0060495C">
        <w:t>dwellings on the lot</w:t>
      </w:r>
      <w:r w:rsidR="00D97B4C" w:rsidRPr="0060495C">
        <w:t>.</w:t>
      </w:r>
    </w:p>
    <w:p w:rsidR="00D97B4C" w:rsidRPr="00745C0A" w:rsidRDefault="00D97B4C" w:rsidP="00D97B4C">
      <w:pPr>
        <w:pStyle w:val="Order2"/>
      </w:pPr>
      <w:r w:rsidRPr="00745C0A">
        <w:t xml:space="preserve">Conditions </w:t>
      </w:r>
      <w:r w:rsidR="0060495C" w:rsidRPr="00745C0A">
        <w:t xml:space="preserve">1(a), 1(b), 1(c), 1(d), 1(e), 1(f), 1(g), 1(k) and 1(m) </w:t>
      </w:r>
      <w:r w:rsidRPr="00745C0A">
        <w:t xml:space="preserve">were sought to be reviewed by the permit applicant.  </w:t>
      </w:r>
    </w:p>
    <w:p w:rsidR="00D97B4C" w:rsidRPr="00745C0A" w:rsidRDefault="00D97B4C" w:rsidP="00D97B4C">
      <w:pPr>
        <w:pStyle w:val="Order2"/>
      </w:pPr>
      <w:r w:rsidRPr="00745C0A">
        <w:t>The conditions in contention include:</w:t>
      </w:r>
    </w:p>
    <w:p w:rsidR="0038483E" w:rsidRPr="00745C0A" w:rsidRDefault="002204B3" w:rsidP="0038483E">
      <w:pPr>
        <w:pStyle w:val="Order2"/>
        <w:numPr>
          <w:ilvl w:val="0"/>
          <w:numId w:val="0"/>
        </w:numPr>
        <w:ind w:left="567"/>
        <w:rPr>
          <w:i/>
        </w:rPr>
      </w:pPr>
      <w:r w:rsidRPr="00745C0A">
        <w:rPr>
          <w:i/>
        </w:rPr>
        <w:t>1a</w:t>
      </w:r>
      <w:r w:rsidR="0038483E" w:rsidRPr="00745C0A">
        <w:rPr>
          <w:i/>
        </w:rPr>
        <w:t xml:space="preserve"> Foyer </w:t>
      </w:r>
      <w:r w:rsidRPr="00745C0A">
        <w:rPr>
          <w:i/>
        </w:rPr>
        <w:t xml:space="preserve">and staircase wall of dwelling </w:t>
      </w:r>
      <w:r w:rsidR="0038483E" w:rsidRPr="00745C0A">
        <w:rPr>
          <w:i/>
        </w:rPr>
        <w:t>1</w:t>
      </w:r>
      <w:r w:rsidRPr="00745C0A">
        <w:rPr>
          <w:i/>
        </w:rPr>
        <w:t xml:space="preserve"> set back a further 2 m and master bedroom </w:t>
      </w:r>
      <w:r w:rsidR="0038483E" w:rsidRPr="00745C0A">
        <w:rPr>
          <w:i/>
        </w:rPr>
        <w:t>1</w:t>
      </w:r>
      <w:r w:rsidRPr="00745C0A">
        <w:rPr>
          <w:i/>
        </w:rPr>
        <w:t xml:space="preserve"> wall of dwelling </w:t>
      </w:r>
      <w:r w:rsidR="0038483E" w:rsidRPr="00745C0A">
        <w:rPr>
          <w:i/>
        </w:rPr>
        <w:t>1</w:t>
      </w:r>
      <w:r w:rsidRPr="00745C0A">
        <w:rPr>
          <w:i/>
        </w:rPr>
        <w:t xml:space="preserve"> further setback 1 m to achieve a greater front setback to the satisfaction of the </w:t>
      </w:r>
      <w:r w:rsidR="0038483E" w:rsidRPr="00745C0A">
        <w:rPr>
          <w:i/>
        </w:rPr>
        <w:t>Responsible Authority.</w:t>
      </w:r>
    </w:p>
    <w:p w:rsidR="0038483E" w:rsidRPr="00745C0A" w:rsidRDefault="0038483E" w:rsidP="0038483E">
      <w:pPr>
        <w:pStyle w:val="Order2"/>
        <w:numPr>
          <w:ilvl w:val="0"/>
          <w:numId w:val="0"/>
        </w:numPr>
        <w:ind w:left="567"/>
        <w:rPr>
          <w:i/>
        </w:rPr>
      </w:pPr>
      <w:r w:rsidRPr="00745C0A">
        <w:rPr>
          <w:i/>
        </w:rPr>
        <w:t xml:space="preserve">1b The </w:t>
      </w:r>
      <w:r w:rsidR="002204B3" w:rsidRPr="00745C0A">
        <w:rPr>
          <w:i/>
        </w:rPr>
        <w:t xml:space="preserve">front fence to the secluded private open-space of dwelling </w:t>
      </w:r>
      <w:r w:rsidRPr="00745C0A">
        <w:rPr>
          <w:i/>
        </w:rPr>
        <w:t>1</w:t>
      </w:r>
      <w:r w:rsidR="002204B3" w:rsidRPr="00745C0A">
        <w:rPr>
          <w:i/>
        </w:rPr>
        <w:t xml:space="preserve"> re-aligned to the front foyer wall</w:t>
      </w:r>
      <w:r w:rsidRPr="00745C0A">
        <w:rPr>
          <w:i/>
        </w:rPr>
        <w:t>.</w:t>
      </w:r>
    </w:p>
    <w:p w:rsidR="0038483E" w:rsidRPr="00745C0A" w:rsidRDefault="0038483E" w:rsidP="0038483E">
      <w:pPr>
        <w:pStyle w:val="Order2"/>
        <w:numPr>
          <w:ilvl w:val="0"/>
          <w:numId w:val="0"/>
        </w:numPr>
        <w:ind w:left="567"/>
        <w:rPr>
          <w:i/>
        </w:rPr>
      </w:pPr>
      <w:r w:rsidRPr="00745C0A">
        <w:rPr>
          <w:i/>
        </w:rPr>
        <w:t>1c T</w:t>
      </w:r>
      <w:r w:rsidR="002204B3" w:rsidRPr="00745C0A">
        <w:rPr>
          <w:i/>
        </w:rPr>
        <w:t xml:space="preserve">he southern </w:t>
      </w:r>
      <w:r w:rsidRPr="00745C0A">
        <w:rPr>
          <w:i/>
        </w:rPr>
        <w:t>b</w:t>
      </w:r>
      <w:r w:rsidR="002204B3" w:rsidRPr="00745C0A">
        <w:rPr>
          <w:i/>
        </w:rPr>
        <w:t>ound</w:t>
      </w:r>
      <w:r w:rsidRPr="00745C0A">
        <w:rPr>
          <w:i/>
        </w:rPr>
        <w:t>a</w:t>
      </w:r>
      <w:r w:rsidR="002204B3" w:rsidRPr="00745C0A">
        <w:rPr>
          <w:i/>
        </w:rPr>
        <w:t xml:space="preserve">ry of the secluded private open-space of dwelling </w:t>
      </w:r>
      <w:r w:rsidRPr="00745C0A">
        <w:rPr>
          <w:i/>
        </w:rPr>
        <w:t>1</w:t>
      </w:r>
      <w:r w:rsidR="002204B3" w:rsidRPr="00745C0A">
        <w:rPr>
          <w:i/>
        </w:rPr>
        <w:t xml:space="preserve"> to be moved south to achieve the required 35 m² to the satisfaction of the </w:t>
      </w:r>
      <w:r w:rsidRPr="00745C0A">
        <w:rPr>
          <w:i/>
        </w:rPr>
        <w:t>Responsible Authority.</w:t>
      </w:r>
    </w:p>
    <w:p w:rsidR="0038483E" w:rsidRPr="00745C0A" w:rsidRDefault="0038483E" w:rsidP="0038483E">
      <w:pPr>
        <w:pStyle w:val="Order2"/>
        <w:numPr>
          <w:ilvl w:val="0"/>
          <w:numId w:val="0"/>
        </w:numPr>
        <w:ind w:left="567"/>
        <w:rPr>
          <w:i/>
        </w:rPr>
      </w:pPr>
      <w:r w:rsidRPr="00745C0A">
        <w:rPr>
          <w:i/>
        </w:rPr>
        <w:t>1d C</w:t>
      </w:r>
      <w:r w:rsidR="002204B3" w:rsidRPr="00745C0A">
        <w:rPr>
          <w:i/>
        </w:rPr>
        <w:t xml:space="preserve">onvert the double garage </w:t>
      </w:r>
      <w:r w:rsidRPr="00745C0A">
        <w:rPr>
          <w:i/>
        </w:rPr>
        <w:t>of dwelling 1</w:t>
      </w:r>
      <w:r w:rsidR="002204B3" w:rsidRPr="00745C0A">
        <w:rPr>
          <w:i/>
        </w:rPr>
        <w:t xml:space="preserve"> to a single garage to allow for the greater front setback reducing the </w:t>
      </w:r>
      <w:r w:rsidRPr="00745C0A">
        <w:rPr>
          <w:i/>
        </w:rPr>
        <w:t xml:space="preserve">dwelling </w:t>
      </w:r>
      <w:r w:rsidR="002204B3" w:rsidRPr="00745C0A">
        <w:rPr>
          <w:i/>
        </w:rPr>
        <w:t xml:space="preserve">to 2 bedrooms to the satisfaction of the </w:t>
      </w:r>
      <w:r w:rsidRPr="00745C0A">
        <w:rPr>
          <w:i/>
        </w:rPr>
        <w:t>Responsible Authority</w:t>
      </w:r>
      <w:r w:rsidR="002204B3" w:rsidRPr="00745C0A">
        <w:rPr>
          <w:i/>
        </w:rPr>
        <w:t xml:space="preserve">. </w:t>
      </w:r>
    </w:p>
    <w:p w:rsidR="00745C0A" w:rsidRPr="00745C0A" w:rsidRDefault="0038483E" w:rsidP="0038483E">
      <w:pPr>
        <w:pStyle w:val="Order2"/>
        <w:numPr>
          <w:ilvl w:val="0"/>
          <w:numId w:val="0"/>
        </w:numPr>
        <w:ind w:left="567"/>
        <w:rPr>
          <w:i/>
        </w:rPr>
      </w:pPr>
      <w:r w:rsidRPr="00745C0A">
        <w:rPr>
          <w:i/>
        </w:rPr>
        <w:t xml:space="preserve">1e The </w:t>
      </w:r>
      <w:r w:rsidR="002204B3" w:rsidRPr="00745C0A">
        <w:rPr>
          <w:i/>
        </w:rPr>
        <w:t xml:space="preserve">north wall of bedroom </w:t>
      </w:r>
      <w:r w:rsidRPr="00745C0A">
        <w:rPr>
          <w:i/>
        </w:rPr>
        <w:t xml:space="preserve">4 </w:t>
      </w:r>
      <w:r w:rsidR="002204B3" w:rsidRPr="00745C0A">
        <w:rPr>
          <w:i/>
        </w:rPr>
        <w:t xml:space="preserve">on the first floor of dwelling </w:t>
      </w:r>
      <w:r w:rsidR="003E3E8E" w:rsidRPr="00745C0A">
        <w:rPr>
          <w:i/>
        </w:rPr>
        <w:t>1</w:t>
      </w:r>
      <w:r w:rsidR="002204B3" w:rsidRPr="00745C0A">
        <w:rPr>
          <w:i/>
        </w:rPr>
        <w:t xml:space="preserve"> located further south by 1.5 m to the satisfaction of the </w:t>
      </w:r>
      <w:r w:rsidRPr="00745C0A">
        <w:rPr>
          <w:i/>
        </w:rPr>
        <w:t>Responsible Authority</w:t>
      </w:r>
      <w:r w:rsidR="002204B3" w:rsidRPr="00745C0A">
        <w:rPr>
          <w:i/>
        </w:rPr>
        <w:t xml:space="preserve">. </w:t>
      </w:r>
    </w:p>
    <w:p w:rsidR="00745C0A" w:rsidRPr="00745C0A" w:rsidRDefault="00745C0A" w:rsidP="0038483E">
      <w:pPr>
        <w:pStyle w:val="Order2"/>
        <w:numPr>
          <w:ilvl w:val="0"/>
          <w:numId w:val="0"/>
        </w:numPr>
        <w:ind w:left="567"/>
        <w:rPr>
          <w:i/>
        </w:rPr>
      </w:pPr>
      <w:r w:rsidRPr="00745C0A">
        <w:rPr>
          <w:i/>
        </w:rPr>
        <w:t>1f F</w:t>
      </w:r>
      <w:r w:rsidR="002204B3" w:rsidRPr="00745C0A">
        <w:rPr>
          <w:i/>
        </w:rPr>
        <w:t>irst floor north wall of the stairwell and storage area of dwelling</w:t>
      </w:r>
      <w:r w:rsidRPr="00745C0A">
        <w:rPr>
          <w:i/>
        </w:rPr>
        <w:t xml:space="preserve"> 1</w:t>
      </w:r>
      <w:r w:rsidR="002204B3" w:rsidRPr="00745C0A">
        <w:rPr>
          <w:i/>
        </w:rPr>
        <w:t xml:space="preserve"> to be set back a further 2 m to the satisfaction of the </w:t>
      </w:r>
      <w:r w:rsidR="0038483E" w:rsidRPr="00745C0A">
        <w:rPr>
          <w:i/>
        </w:rPr>
        <w:t>Responsible Authority</w:t>
      </w:r>
      <w:r w:rsidRPr="00745C0A">
        <w:rPr>
          <w:i/>
        </w:rPr>
        <w:t>.</w:t>
      </w:r>
    </w:p>
    <w:p w:rsidR="00745C0A" w:rsidRPr="00745C0A" w:rsidRDefault="00745C0A" w:rsidP="0038483E">
      <w:pPr>
        <w:pStyle w:val="Order2"/>
        <w:numPr>
          <w:ilvl w:val="0"/>
          <w:numId w:val="0"/>
        </w:numPr>
        <w:ind w:left="567"/>
        <w:rPr>
          <w:i/>
        </w:rPr>
      </w:pPr>
      <w:r w:rsidRPr="00745C0A">
        <w:rPr>
          <w:i/>
        </w:rPr>
        <w:t>1g N</w:t>
      </w:r>
      <w:r w:rsidR="002204B3" w:rsidRPr="00745C0A">
        <w:rPr>
          <w:i/>
        </w:rPr>
        <w:t xml:space="preserve">orth wall of first floor master bedroom </w:t>
      </w:r>
      <w:r w:rsidRPr="00745C0A">
        <w:rPr>
          <w:i/>
        </w:rPr>
        <w:t>2</w:t>
      </w:r>
      <w:r w:rsidR="002204B3" w:rsidRPr="00745C0A">
        <w:rPr>
          <w:i/>
        </w:rPr>
        <w:t xml:space="preserve"> of dwelling </w:t>
      </w:r>
      <w:r w:rsidRPr="00745C0A">
        <w:rPr>
          <w:i/>
        </w:rPr>
        <w:t>1</w:t>
      </w:r>
      <w:r w:rsidR="002204B3" w:rsidRPr="00745C0A">
        <w:rPr>
          <w:i/>
        </w:rPr>
        <w:t xml:space="preserve"> set</w:t>
      </w:r>
      <w:r w:rsidRPr="00745C0A">
        <w:rPr>
          <w:i/>
        </w:rPr>
        <w:t xml:space="preserve"> </w:t>
      </w:r>
      <w:r w:rsidR="002204B3" w:rsidRPr="00745C0A">
        <w:rPr>
          <w:i/>
        </w:rPr>
        <w:t xml:space="preserve">back a further 1 m to the satisfaction of the </w:t>
      </w:r>
      <w:r w:rsidR="0038483E" w:rsidRPr="00745C0A">
        <w:rPr>
          <w:i/>
        </w:rPr>
        <w:t>Responsible Authority</w:t>
      </w:r>
      <w:r w:rsidR="002204B3" w:rsidRPr="00745C0A">
        <w:rPr>
          <w:i/>
        </w:rPr>
        <w:t xml:space="preserve">. </w:t>
      </w:r>
    </w:p>
    <w:p w:rsidR="00745C0A" w:rsidRPr="00745C0A" w:rsidRDefault="00745C0A" w:rsidP="0038483E">
      <w:pPr>
        <w:pStyle w:val="Order2"/>
        <w:numPr>
          <w:ilvl w:val="0"/>
          <w:numId w:val="0"/>
        </w:numPr>
        <w:ind w:left="567"/>
        <w:rPr>
          <w:i/>
        </w:rPr>
      </w:pPr>
      <w:r w:rsidRPr="00745C0A">
        <w:rPr>
          <w:i/>
        </w:rPr>
        <w:t>1k D</w:t>
      </w:r>
      <w:r w:rsidR="002204B3" w:rsidRPr="00745C0A">
        <w:rPr>
          <w:i/>
        </w:rPr>
        <w:t xml:space="preserve">riveway to be re-aligned to the garage of dwelling </w:t>
      </w:r>
      <w:r w:rsidRPr="00745C0A">
        <w:rPr>
          <w:i/>
        </w:rPr>
        <w:t>1</w:t>
      </w:r>
      <w:r w:rsidR="002204B3" w:rsidRPr="00745C0A">
        <w:rPr>
          <w:i/>
        </w:rPr>
        <w:t xml:space="preserve"> to reflect the garage modifications including providing a larger landscaping area between the garage and dwelling </w:t>
      </w:r>
      <w:r w:rsidRPr="00745C0A">
        <w:rPr>
          <w:i/>
        </w:rPr>
        <w:t>1</w:t>
      </w:r>
      <w:r w:rsidR="002204B3" w:rsidRPr="00745C0A">
        <w:rPr>
          <w:i/>
        </w:rPr>
        <w:t xml:space="preserve"> to the satisfaction of the </w:t>
      </w:r>
      <w:r w:rsidR="0038483E" w:rsidRPr="00745C0A">
        <w:rPr>
          <w:i/>
        </w:rPr>
        <w:t>Responsible Authority</w:t>
      </w:r>
      <w:r w:rsidR="002204B3" w:rsidRPr="00745C0A">
        <w:rPr>
          <w:i/>
        </w:rPr>
        <w:t xml:space="preserve">. </w:t>
      </w:r>
    </w:p>
    <w:p w:rsidR="002204B3" w:rsidRPr="00745C0A" w:rsidRDefault="00745C0A" w:rsidP="0038483E">
      <w:pPr>
        <w:pStyle w:val="Order2"/>
        <w:numPr>
          <w:ilvl w:val="0"/>
          <w:numId w:val="0"/>
        </w:numPr>
        <w:ind w:left="567"/>
        <w:rPr>
          <w:i/>
        </w:rPr>
      </w:pPr>
      <w:r w:rsidRPr="00745C0A">
        <w:rPr>
          <w:i/>
        </w:rPr>
        <w:t>1m T</w:t>
      </w:r>
      <w:r w:rsidR="002204B3" w:rsidRPr="00745C0A">
        <w:rPr>
          <w:i/>
        </w:rPr>
        <w:t>he shed for dwelling</w:t>
      </w:r>
      <w:r w:rsidRPr="00745C0A">
        <w:rPr>
          <w:i/>
        </w:rPr>
        <w:t xml:space="preserve"> 3</w:t>
      </w:r>
      <w:r w:rsidR="002204B3" w:rsidRPr="00745C0A">
        <w:rPr>
          <w:i/>
        </w:rPr>
        <w:t xml:space="preserve"> located outside the 35 m² of secluded private open-space</w:t>
      </w:r>
    </w:p>
    <w:p w:rsidR="00745C0A" w:rsidRDefault="00745C0A" w:rsidP="00D97B4C">
      <w:pPr>
        <w:pStyle w:val="Order2"/>
      </w:pPr>
      <w:r w:rsidRPr="00216038">
        <w:t>Mr R Gunsberger</w:t>
      </w:r>
      <w:r>
        <w:t xml:space="preserve">, a neighbour and a party to the review, held that the conditions were reasonable and should be retained. </w:t>
      </w:r>
    </w:p>
    <w:p w:rsidR="00D97B4C" w:rsidRPr="00745C0A" w:rsidRDefault="00D97B4C" w:rsidP="00D97B4C">
      <w:pPr>
        <w:pStyle w:val="Order2"/>
      </w:pPr>
      <w:r w:rsidRPr="00745C0A">
        <w:t>The review grounds regarding the conditions relate to discrete matters:</w:t>
      </w:r>
    </w:p>
    <w:p w:rsidR="00107FCF" w:rsidRPr="00745C0A" w:rsidRDefault="00107FCF" w:rsidP="00107FCF">
      <w:pPr>
        <w:pStyle w:val="Para1"/>
        <w:numPr>
          <w:ilvl w:val="2"/>
          <w:numId w:val="8"/>
        </w:numPr>
      </w:pPr>
      <w:r w:rsidRPr="00745C0A">
        <w:t>built form in the streetscape</w:t>
      </w:r>
      <w:r w:rsidR="00CD5182">
        <w:t xml:space="preserve"> and garage changes</w:t>
      </w:r>
      <w:r w:rsidRPr="00745C0A">
        <w:t>;</w:t>
      </w:r>
    </w:p>
    <w:p w:rsidR="00107FCF" w:rsidRPr="002A090D" w:rsidRDefault="005671E7" w:rsidP="00107FCF">
      <w:pPr>
        <w:pStyle w:val="Para1"/>
        <w:numPr>
          <w:ilvl w:val="2"/>
          <w:numId w:val="8"/>
        </w:numPr>
      </w:pPr>
      <w:r>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07FCF">
        <w:t>location of storage</w:t>
      </w:r>
    </w:p>
    <w:p w:rsidR="00107FCF" w:rsidRPr="002A090D" w:rsidRDefault="00107FCF" w:rsidP="00107FCF">
      <w:pPr>
        <w:pStyle w:val="Order2"/>
      </w:pPr>
      <w:r w:rsidRPr="002A090D">
        <w:t>The key issues for determination are:</w:t>
      </w:r>
    </w:p>
    <w:p w:rsidR="00107FCF" w:rsidRPr="002A090D" w:rsidRDefault="00107FCF" w:rsidP="00107FCF">
      <w:pPr>
        <w:pStyle w:val="Para1"/>
        <w:numPr>
          <w:ilvl w:val="1"/>
          <w:numId w:val="8"/>
        </w:numPr>
      </w:pPr>
      <w:r w:rsidRPr="002A090D">
        <w:t>Are the conditions relating to setting back built form to the streetscape justified?</w:t>
      </w:r>
    </w:p>
    <w:p w:rsidR="00107FCF" w:rsidRPr="00107FCF" w:rsidRDefault="00107FCF" w:rsidP="00107FCF">
      <w:pPr>
        <w:pStyle w:val="Para1"/>
        <w:numPr>
          <w:ilvl w:val="1"/>
          <w:numId w:val="8"/>
        </w:numPr>
      </w:pPr>
      <w:r w:rsidRPr="00107FCF">
        <w:t>Is the condition relating to storage location justified?</w:t>
      </w:r>
    </w:p>
    <w:p w:rsidR="001019C1" w:rsidRPr="00107FCF" w:rsidRDefault="00D97B4C" w:rsidP="00D97B4C">
      <w:pPr>
        <w:pStyle w:val="Order2"/>
      </w:pPr>
      <w:r w:rsidRPr="00107FCF">
        <w:t xml:space="preserve">The </w:t>
      </w:r>
      <w:r w:rsidR="001019C1" w:rsidRPr="00107FCF">
        <w:t xml:space="preserve">Tribunal must decide whether the conditions should remain, be altered, or be removed.  Having considered all submissions with regard to the applicable policies and provisions of the </w:t>
      </w:r>
      <w:r w:rsidR="00142E9E" w:rsidRPr="00107FCF">
        <w:t>Monash</w:t>
      </w:r>
      <w:r w:rsidR="001019C1" w:rsidRPr="00107FCF">
        <w:t xml:space="preserve"> Planning Scheme, I have decided to </w:t>
      </w:r>
      <w:r w:rsidR="0060495C" w:rsidRPr="00107FCF">
        <w:t xml:space="preserve">vary </w:t>
      </w:r>
      <w:r w:rsidR="001019C1" w:rsidRPr="00107FCF">
        <w:t>Council’s decision</w:t>
      </w:r>
      <w:r w:rsidR="0060495C" w:rsidRPr="00107FCF">
        <w:t xml:space="preserve"> and delete the reviewed conditions</w:t>
      </w:r>
      <w:r w:rsidR="001019C1" w:rsidRPr="00107FCF">
        <w:t>.  My reasons follow.</w:t>
      </w:r>
    </w:p>
    <w:p w:rsidR="00B115FA" w:rsidRPr="00B115FA" w:rsidRDefault="00B115FA" w:rsidP="00B115FA">
      <w:pPr>
        <w:pStyle w:val="Para1"/>
        <w:numPr>
          <w:ilvl w:val="0"/>
          <w:numId w:val="0"/>
        </w:numPr>
        <w:rPr>
          <w:rFonts w:ascii="Arial" w:hAnsi="Arial"/>
          <w:b/>
          <w:iCs/>
          <w:caps/>
          <w:sz w:val="24"/>
          <w:szCs w:val="24"/>
        </w:rPr>
      </w:pPr>
      <w:r w:rsidRPr="00B115FA">
        <w:rPr>
          <w:rFonts w:ascii="Arial" w:hAnsi="Arial"/>
          <w:b/>
          <w:iCs/>
          <w:caps/>
          <w:sz w:val="24"/>
          <w:szCs w:val="24"/>
        </w:rPr>
        <w:t>Are the conditions relating to setting back built form to the streetscape justified?</w:t>
      </w:r>
    </w:p>
    <w:p w:rsidR="00B115FA" w:rsidRPr="00805943" w:rsidRDefault="00B115FA" w:rsidP="00B115FA">
      <w:pPr>
        <w:pStyle w:val="Para1"/>
      </w:pPr>
      <w:r w:rsidRPr="00805943">
        <w:t xml:space="preserve">Conditions 1(a) </w:t>
      </w:r>
      <w:r w:rsidR="00FD7AF4" w:rsidRPr="00805943">
        <w:t>through to 1</w:t>
      </w:r>
      <w:r w:rsidRPr="00805943">
        <w:t>(</w:t>
      </w:r>
      <w:r w:rsidR="00FD7AF4" w:rsidRPr="00805943">
        <w:t>k</w:t>
      </w:r>
      <w:r w:rsidRPr="00805943">
        <w:t xml:space="preserve">) </w:t>
      </w:r>
      <w:r w:rsidR="00CD5182">
        <w:t xml:space="preserve">(as reviewed) </w:t>
      </w:r>
      <w:r w:rsidRPr="00805943">
        <w:t xml:space="preserve">require the development to be set further back from the street </w:t>
      </w:r>
      <w:r w:rsidR="00FD7AF4" w:rsidRPr="00805943">
        <w:t xml:space="preserve">between </w:t>
      </w:r>
      <w:r w:rsidR="00CD5182">
        <w:t xml:space="preserve">one </w:t>
      </w:r>
      <w:r w:rsidR="00FD7AF4" w:rsidRPr="00805943">
        <w:t xml:space="preserve">and two metres resulting in reduction in the </w:t>
      </w:r>
      <w:r w:rsidR="00805943" w:rsidRPr="00805943">
        <w:t>extent</w:t>
      </w:r>
      <w:r w:rsidR="00FD7AF4" w:rsidRPr="00805943">
        <w:t xml:space="preserve"> of accommodation to the frontage of the site and reduction in the </w:t>
      </w:r>
      <w:r w:rsidR="00805943" w:rsidRPr="00805943">
        <w:t>number</w:t>
      </w:r>
      <w:r w:rsidR="00FD7AF4" w:rsidRPr="00805943">
        <w:t xml:space="preserve"> of bedrooms, changes to open space</w:t>
      </w:r>
      <w:r w:rsidR="00805943" w:rsidRPr="00805943">
        <w:t xml:space="preserve"> fencing resulting from the accommodation changes and a </w:t>
      </w:r>
      <w:r w:rsidR="00FD7AF4" w:rsidRPr="00805943">
        <w:t xml:space="preserve">change in the garage of dwelling 1 </w:t>
      </w:r>
      <w:r w:rsidR="00805943" w:rsidRPr="00805943">
        <w:t xml:space="preserve">from double </w:t>
      </w:r>
      <w:r w:rsidR="00FD7AF4" w:rsidRPr="00805943">
        <w:t xml:space="preserve">to </w:t>
      </w:r>
      <w:r w:rsidR="00805943" w:rsidRPr="00805943">
        <w:t>single</w:t>
      </w:r>
      <w:r w:rsidR="00FD7AF4" w:rsidRPr="00805943">
        <w:t xml:space="preserve"> garage</w:t>
      </w:r>
      <w:r w:rsidR="00805943">
        <w:t xml:space="preserve"> (in order to allow increased setbacks and in response to the reduction of number of bedrooms from dwelling 1 from 3 to 2)</w:t>
      </w:r>
      <w:r w:rsidR="00805943" w:rsidRPr="00805943">
        <w:t>.</w:t>
      </w:r>
    </w:p>
    <w:p w:rsidR="00847223" w:rsidRDefault="00847223" w:rsidP="00E248A8">
      <w:pPr>
        <w:pStyle w:val="Para1"/>
      </w:pPr>
      <w:r w:rsidRPr="00847223">
        <w:t xml:space="preserve">I do not consider it is appropriate to require these changes.  </w:t>
      </w:r>
      <w:r w:rsidR="00805943" w:rsidRPr="00847223">
        <w:t xml:space="preserve">I am satisfied that the proposal responds well to Clause 22.01 as required within the purposes of the zone and the decision guidelines of Clause 55 ResCode Standard B6 Front Setback.  I am not persuaded that the street setback character to Woonah Street is sufficiently consistent to require such </w:t>
      </w:r>
      <w:r w:rsidR="00805943" w:rsidRPr="001F7A6D">
        <w:t xml:space="preserve">changes.  </w:t>
      </w:r>
    </w:p>
    <w:p w:rsidR="00847223" w:rsidRPr="005823C0" w:rsidRDefault="00847223" w:rsidP="005823C0">
      <w:pPr>
        <w:pStyle w:val="Para1"/>
      </w:pPr>
      <w:r w:rsidRPr="001F7A6D">
        <w:t xml:space="preserve">The 5.6 metres front setback exceeds the average of the two adjoining properties (7.631 metres + 3.551 metres = 11.182 metres of </w:t>
      </w:r>
      <w:r w:rsidR="001F7A6D" w:rsidRPr="001F7A6D">
        <w:t>which</w:t>
      </w:r>
      <w:r w:rsidRPr="001F7A6D">
        <w:t xml:space="preserve"> the average is 5.591 metres).  Whilst the schedule to the zone amends Standard B6 of ResCode and seeks a setback of 7.6 metres, this is not a mandatory requirement, and should not be assessed thus.  </w:t>
      </w:r>
      <w:r w:rsidR="001F7A6D" w:rsidRPr="001F7A6D">
        <w:t>An assessment of Standard B6 must be conducted</w:t>
      </w:r>
      <w:r w:rsidR="005823C0">
        <w:t xml:space="preserve"> </w:t>
      </w:r>
      <w:r w:rsidR="005823C0" w:rsidRPr="001F7A6D">
        <w:t>in its entirety</w:t>
      </w:r>
      <w:r w:rsidR="001F7A6D" w:rsidRPr="001F7A6D">
        <w:t xml:space="preserve">.  </w:t>
      </w:r>
      <w:r w:rsidRPr="001F7A6D">
        <w:t xml:space="preserve">Any new development </w:t>
      </w:r>
      <w:r w:rsidR="001F7A6D" w:rsidRPr="001F7A6D">
        <w:t>must meet the objective of Standard B6 which seeks “</w:t>
      </w:r>
      <w:r w:rsidR="001F7A6D" w:rsidRPr="005823C0">
        <w:rPr>
          <w:i/>
        </w:rPr>
        <w:t xml:space="preserve">to </w:t>
      </w:r>
      <w:r w:rsidRPr="005823C0">
        <w:rPr>
          <w:i/>
        </w:rPr>
        <w:t>ensure that the setbacks of buildings from a street respect the existing or preferred neighbourhood character and make efficient use of the site.</w:t>
      </w:r>
      <w:r w:rsidR="001F7A6D" w:rsidRPr="005823C0">
        <w:rPr>
          <w:i/>
        </w:rPr>
        <w:t xml:space="preserve">”  </w:t>
      </w:r>
      <w:r w:rsidR="001F7A6D" w:rsidRPr="001F7A6D">
        <w:t xml:space="preserve">In assessing whether or not this objective is achieved, the decision guidelines are apposite.  They include: </w:t>
      </w:r>
      <w:r w:rsidR="001F7A6D" w:rsidRPr="005823C0">
        <w:rPr>
          <w:i/>
        </w:rPr>
        <w:t>Any relevant neighbourhood character objective, policy or statement set out in this scheme; The design response; Whether a different setback would be more appropriate taking into account the prevailing setbacks of existing buildings on nearby lots</w:t>
      </w:r>
      <w:r w:rsidR="005823C0" w:rsidRPr="005823C0">
        <w:rPr>
          <w:i/>
        </w:rPr>
        <w:t>;</w:t>
      </w:r>
      <w:r w:rsidR="001F7A6D" w:rsidRPr="005823C0">
        <w:rPr>
          <w:i/>
        </w:rPr>
        <w:t xml:space="preserve"> The visual impact of the building when viewed from the street and from adjoining properties; The value of retaining vegetation within the front setback.  </w:t>
      </w:r>
    </w:p>
    <w:p w:rsidR="005823C0" w:rsidRDefault="005671E7" w:rsidP="005823C0">
      <w:pPr>
        <w:pStyle w:val="Para1"/>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823C0">
        <w:t>I am satisfied that the development meets the objective of Standard B6 and say this for the following reasons:</w:t>
      </w:r>
    </w:p>
    <w:p w:rsidR="005823C0" w:rsidRDefault="005823C0" w:rsidP="005823C0">
      <w:pPr>
        <w:pStyle w:val="Para1"/>
        <w:numPr>
          <w:ilvl w:val="1"/>
          <w:numId w:val="2"/>
        </w:numPr>
      </w:pPr>
      <w:r>
        <w:t xml:space="preserve">As noted previously, the front setback represents an </w:t>
      </w:r>
      <w:r w:rsidR="00D26344">
        <w:t>average</w:t>
      </w:r>
      <w:r>
        <w:t xml:space="preserve"> of the setbacks at 1A Vision Street and 12 Woonah Street.  I am satisfied that this will provide a stepped setback between these two dwellings, </w:t>
      </w:r>
      <w:r w:rsidR="00D26344">
        <w:t>such</w:t>
      </w:r>
      <w:r>
        <w:t xml:space="preserve"> that the development will provide </w:t>
      </w:r>
      <w:r w:rsidR="00D26344">
        <w:t>graduation</w:t>
      </w:r>
      <w:r>
        <w:t xml:space="preserve"> between the two </w:t>
      </w:r>
      <w:r w:rsidR="00D26344">
        <w:t xml:space="preserve">adjoining </w:t>
      </w:r>
      <w:r>
        <w:t xml:space="preserve">front </w:t>
      </w:r>
      <w:r w:rsidR="00D26344">
        <w:t>setbacks</w:t>
      </w:r>
      <w:r>
        <w:t>.  Indeed I fin</w:t>
      </w:r>
      <w:r w:rsidR="00D26344">
        <w:t>d</w:t>
      </w:r>
      <w:r>
        <w:t xml:space="preserve"> setting the </w:t>
      </w:r>
      <w:r w:rsidR="00D26344">
        <w:t xml:space="preserve">development </w:t>
      </w:r>
      <w:r>
        <w:t xml:space="preserve">back 7.6 metres would exacerbate the </w:t>
      </w:r>
      <w:r w:rsidR="00D26344">
        <w:t>perception</w:t>
      </w:r>
      <w:r>
        <w:t xml:space="preserve"> of </w:t>
      </w:r>
      <w:r w:rsidR="00D26344">
        <w:t>the</w:t>
      </w:r>
      <w:r>
        <w:t xml:space="preserve"> 3.5 metre setback to 1A Vision Street, a perception that is not in keeping with the </w:t>
      </w:r>
      <w:r w:rsidR="00D26344">
        <w:t>wider</w:t>
      </w:r>
      <w:r>
        <w:t xml:space="preserve"> </w:t>
      </w:r>
      <w:r w:rsidR="00D26344">
        <w:t xml:space="preserve">character of reasonably well set back dwelling frontages.  </w:t>
      </w:r>
    </w:p>
    <w:p w:rsidR="00D26344" w:rsidRDefault="00D26344" w:rsidP="005823C0">
      <w:pPr>
        <w:pStyle w:val="Para1"/>
        <w:numPr>
          <w:ilvl w:val="1"/>
          <w:numId w:val="2"/>
        </w:numPr>
      </w:pPr>
      <w:r>
        <w:t>I am satisfied that the proposed dwelling 1 facing the street provides good stepping within its own façade, with the master bedroom set back from the porch and the kitchen area set back a further 7.672 metres from the frontage of the dwelling.  This, in conjunction with the generous side setbacks (between 4.5 and 5 metres at ground level) will serve to minimise the appearance of bulk of dwelling 1 in line with the expectations for this area as enshrined in Clause 22.01 of the Monash Planning Scheme.</w:t>
      </w:r>
    </w:p>
    <w:p w:rsidR="00877DC5" w:rsidRDefault="00877DC5" w:rsidP="005823C0">
      <w:pPr>
        <w:pStyle w:val="Para1"/>
        <w:numPr>
          <w:ilvl w:val="1"/>
          <w:numId w:val="2"/>
        </w:numPr>
      </w:pPr>
      <w:r>
        <w:t xml:space="preserve">At the first floor setbacks </w:t>
      </w:r>
      <w:r w:rsidR="008211FD">
        <w:t>are similarly generous to adjoining properties and also recessive to the ground floor.  S</w:t>
      </w:r>
      <w:r>
        <w:t xml:space="preserve">ide setbacks of between 5.2 and 5.7 metres complement the front setback of 6.315 metres, ensuring the first floor is not a dominant element </w:t>
      </w:r>
      <w:r w:rsidR="008211FD">
        <w:t>on the site or in the streetscape.</w:t>
      </w:r>
    </w:p>
    <w:p w:rsidR="008211FD" w:rsidRDefault="008211FD" w:rsidP="008211FD">
      <w:pPr>
        <w:pStyle w:val="Para1"/>
        <w:numPr>
          <w:ilvl w:val="1"/>
          <w:numId w:val="2"/>
        </w:numPr>
      </w:pPr>
      <w:r>
        <w:t>The maximum height of dwelling 1 is 7.414 metres and is in line with similar development typology in the streetscape, most notably directly to the west at 12 Woonah Street.</w:t>
      </w:r>
    </w:p>
    <w:p w:rsidR="00D26344" w:rsidRDefault="00825491" w:rsidP="005823C0">
      <w:pPr>
        <w:pStyle w:val="Para1"/>
        <w:numPr>
          <w:ilvl w:val="1"/>
          <w:numId w:val="2"/>
        </w:numPr>
      </w:pPr>
      <w:r>
        <w:t xml:space="preserve">I am satisfied that the design has taken into account the prevailing setbacks of buildings on nearby lots by reflecting the setbacks of adjoining properties, including that at 1A Vision Street, and including those in the wider area where graduated approaches </w:t>
      </w:r>
      <w:r w:rsidR="00CD5182">
        <w:t xml:space="preserve">to lesser setbacks (particularly to corner lots) </w:t>
      </w:r>
      <w:r>
        <w:t xml:space="preserve">have </w:t>
      </w:r>
      <w:r w:rsidR="00CD5182">
        <w:t xml:space="preserve">been </w:t>
      </w:r>
      <w:r>
        <w:t xml:space="preserve">employed.  </w:t>
      </w:r>
    </w:p>
    <w:p w:rsidR="00C22803" w:rsidRDefault="00C22803" w:rsidP="005823C0">
      <w:pPr>
        <w:pStyle w:val="Para1"/>
        <w:numPr>
          <w:ilvl w:val="1"/>
          <w:numId w:val="2"/>
        </w:numPr>
      </w:pPr>
      <w:r>
        <w:t xml:space="preserve">I find that the </w:t>
      </w:r>
      <w:r w:rsidR="00CD5182">
        <w:t xml:space="preserve">2 metre </w:t>
      </w:r>
      <w:r>
        <w:t xml:space="preserve">reduction in the </w:t>
      </w:r>
      <w:r w:rsidR="00CD5182">
        <w:t xml:space="preserve">front </w:t>
      </w:r>
      <w:r>
        <w:t xml:space="preserve">setback </w:t>
      </w:r>
      <w:r w:rsidR="00CD5182">
        <w:t>(</w:t>
      </w:r>
      <w:r>
        <w:t>having regard to the schedule to the zone</w:t>
      </w:r>
      <w:r w:rsidR="00CD5182">
        <w:t>)</w:t>
      </w:r>
      <w:r>
        <w:t xml:space="preserve"> is not excessive.</w:t>
      </w:r>
    </w:p>
    <w:p w:rsidR="008211FD" w:rsidRPr="007727DF" w:rsidRDefault="00C22803" w:rsidP="008211FD">
      <w:pPr>
        <w:pStyle w:val="Para1"/>
        <w:numPr>
          <w:ilvl w:val="1"/>
          <w:numId w:val="2"/>
        </w:numPr>
      </w:pPr>
      <w:r>
        <w:t xml:space="preserve">I am persuaded that the </w:t>
      </w:r>
      <w:r w:rsidRPr="00CD5182">
        <w:rPr>
          <w:i/>
        </w:rPr>
        <w:t>perception</w:t>
      </w:r>
      <w:r>
        <w:t xml:space="preserve"> of the frontage setback is reduced through the angled nature of the road to dwellings, where there is an inconsistency of response to the streetscape.  By this I mean that the </w:t>
      </w:r>
      <w:r w:rsidR="00877DC5">
        <w:t xml:space="preserve">frontage of the </w:t>
      </w:r>
      <w:r>
        <w:t xml:space="preserve">dwelling at 1A Vision Street is </w:t>
      </w:r>
      <w:r w:rsidR="00877DC5" w:rsidRPr="007727DF">
        <w:t xml:space="preserve">parallel to the street whereas </w:t>
      </w:r>
      <w:r w:rsidR="00CD5182">
        <w:t xml:space="preserve">dwellings at </w:t>
      </w:r>
      <w:r w:rsidR="00877DC5" w:rsidRPr="007727DF">
        <w:t>12 and 14 Woonah are set at an angle to the street.</w:t>
      </w:r>
    </w:p>
    <w:p w:rsidR="005823C0" w:rsidRPr="007727DF" w:rsidRDefault="00B115FA" w:rsidP="007727DF">
      <w:pPr>
        <w:pStyle w:val="Para1"/>
        <w:numPr>
          <w:ilvl w:val="1"/>
          <w:numId w:val="2"/>
        </w:numPr>
      </w:pPr>
      <w:r w:rsidRPr="007727DF">
        <w:rPr>
          <w:lang w:val="en-US"/>
        </w:rPr>
        <w:t xml:space="preserve">Good landscaping opportunities are available throughout the site, due to reasonable side and rear setbacks, in order to appropriately screen the development.  This ensures that the development </w:t>
      </w:r>
      <w:r w:rsidR="005671E7">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7727DF">
        <w:rPr>
          <w:lang w:val="en-US"/>
        </w:rPr>
        <w:t>responds sensitively to each residential interface</w:t>
      </w:r>
      <w:r w:rsidR="008211FD" w:rsidRPr="007727DF">
        <w:rPr>
          <w:lang w:val="en-US"/>
        </w:rPr>
        <w:t xml:space="preserve"> and additionally responds to the streetscape, where policy expectations are for dwellings to be located within a garden setting.  I am satisfied that the unimpeded frontage of the site being over 60 square metres in area, can accommodate the planting of large canopy trees and lower order shrubs in line </w:t>
      </w:r>
      <w:r w:rsidR="005A73BF" w:rsidRPr="007727DF">
        <w:rPr>
          <w:lang w:val="en-US"/>
        </w:rPr>
        <w:t>with</w:t>
      </w:r>
      <w:r w:rsidR="008211FD" w:rsidRPr="007727DF">
        <w:rPr>
          <w:lang w:val="en-US"/>
        </w:rPr>
        <w:t xml:space="preserve"> that expected in Clause 22.01</w:t>
      </w:r>
      <w:r w:rsidRPr="007727DF">
        <w:rPr>
          <w:lang w:val="en-US"/>
        </w:rPr>
        <w:t xml:space="preserve">. </w:t>
      </w:r>
      <w:r w:rsidR="007727DF" w:rsidRPr="007727DF">
        <w:rPr>
          <w:lang w:val="en-US"/>
        </w:rPr>
        <w:t xml:space="preserve"> in addition to this frontage area the secluded private </w:t>
      </w:r>
      <w:r w:rsidR="00CD5182">
        <w:rPr>
          <w:lang w:val="en-US"/>
        </w:rPr>
        <w:t>op</w:t>
      </w:r>
      <w:r w:rsidR="007727DF" w:rsidRPr="007727DF">
        <w:rPr>
          <w:lang w:val="en-US"/>
        </w:rPr>
        <w:t>en space of dwelling 1 will provide opportunity for large canopy tree planting that will be readily visible in te streetscape.</w:t>
      </w:r>
    </w:p>
    <w:p w:rsidR="00B115FA" w:rsidRPr="00847223" w:rsidRDefault="005823C0" w:rsidP="00E248A8">
      <w:pPr>
        <w:pStyle w:val="Para1"/>
      </w:pPr>
      <w:r w:rsidRPr="007727DF">
        <w:t xml:space="preserve">I am satisfied that the proposed development responds well to the character of Woonah Street without need of the changes mooted in the reviewed conditions 1(a) to 1(k).  </w:t>
      </w:r>
      <w:r w:rsidR="00B115FA" w:rsidRPr="007727DF">
        <w:t xml:space="preserve">For these reasons, I am satisfied that conditions </w:t>
      </w:r>
      <w:r w:rsidR="00847223" w:rsidRPr="007727DF">
        <w:t>1(a), 1(b), 1(c), 1(d),</w:t>
      </w:r>
      <w:r w:rsidR="00847223" w:rsidRPr="00847223">
        <w:t xml:space="preserve"> 1(e), 1(f), 1(g), and 1(k) </w:t>
      </w:r>
      <w:r w:rsidR="00B115FA" w:rsidRPr="00847223">
        <w:t>are not required.  I order that these conditions are deleted.</w:t>
      </w:r>
    </w:p>
    <w:p w:rsidR="00B115FA" w:rsidRPr="007727DF" w:rsidRDefault="00847223" w:rsidP="00B115FA">
      <w:pPr>
        <w:pStyle w:val="Para1"/>
        <w:numPr>
          <w:ilvl w:val="0"/>
          <w:numId w:val="0"/>
        </w:numPr>
        <w:ind w:left="567" w:hanging="567"/>
        <w:rPr>
          <w:rFonts w:ascii="Arial" w:hAnsi="Arial"/>
          <w:b/>
          <w:iCs/>
          <w:caps/>
          <w:sz w:val="24"/>
          <w:szCs w:val="24"/>
        </w:rPr>
      </w:pPr>
      <w:r w:rsidRPr="00847223">
        <w:rPr>
          <w:rFonts w:ascii="Arial" w:hAnsi="Arial"/>
          <w:b/>
          <w:iCs/>
          <w:caps/>
          <w:sz w:val="24"/>
          <w:szCs w:val="24"/>
        </w:rPr>
        <w:t xml:space="preserve">is </w:t>
      </w:r>
      <w:r w:rsidR="00B115FA" w:rsidRPr="00847223">
        <w:rPr>
          <w:rFonts w:ascii="Arial" w:hAnsi="Arial"/>
          <w:b/>
          <w:iCs/>
          <w:caps/>
          <w:sz w:val="24"/>
          <w:szCs w:val="24"/>
        </w:rPr>
        <w:t xml:space="preserve">the </w:t>
      </w:r>
      <w:r w:rsidR="00B115FA" w:rsidRPr="007727DF">
        <w:rPr>
          <w:rFonts w:ascii="Arial" w:hAnsi="Arial"/>
          <w:b/>
          <w:iCs/>
          <w:caps/>
          <w:sz w:val="24"/>
          <w:szCs w:val="24"/>
        </w:rPr>
        <w:t>condition relating to storage location justified?</w:t>
      </w:r>
    </w:p>
    <w:p w:rsidR="00B115FA" w:rsidRPr="001057D8" w:rsidRDefault="00B115FA" w:rsidP="00B115FA">
      <w:pPr>
        <w:pStyle w:val="Para1"/>
      </w:pPr>
      <w:r w:rsidRPr="007727DF">
        <w:t>Condition 1(</w:t>
      </w:r>
      <w:r w:rsidR="007727DF" w:rsidRPr="007727DF">
        <w:t>m</w:t>
      </w:r>
      <w:r w:rsidRPr="007727DF">
        <w:t>) require</w:t>
      </w:r>
      <w:r w:rsidR="007727DF" w:rsidRPr="007727DF">
        <w:t xml:space="preserve">d relocation of the storage shed from the primary </w:t>
      </w:r>
      <w:r w:rsidR="007727DF" w:rsidRPr="001057D8">
        <w:t>open space area</w:t>
      </w:r>
      <w:r w:rsidRPr="001057D8">
        <w:t xml:space="preserve"> in the following manner:</w:t>
      </w:r>
    </w:p>
    <w:p w:rsidR="00B115FA" w:rsidRPr="001057D8" w:rsidRDefault="007727DF" w:rsidP="007727DF">
      <w:pPr>
        <w:pStyle w:val="Para1"/>
        <w:numPr>
          <w:ilvl w:val="0"/>
          <w:numId w:val="0"/>
        </w:numPr>
        <w:ind w:left="873"/>
        <w:rPr>
          <w:i/>
        </w:rPr>
      </w:pPr>
      <w:r w:rsidRPr="001057D8">
        <w:rPr>
          <w:i/>
        </w:rPr>
        <w:t>The shed for dwelling 3 located outside the 35 m² of secluded private open-spac</w:t>
      </w:r>
      <w:r w:rsidR="00B115FA" w:rsidRPr="001057D8">
        <w:rPr>
          <w:i/>
        </w:rPr>
        <w:t>e.</w:t>
      </w:r>
    </w:p>
    <w:p w:rsidR="001057D8" w:rsidRPr="001057D8" w:rsidRDefault="001057D8" w:rsidP="001057D8">
      <w:pPr>
        <w:pStyle w:val="Para1"/>
      </w:pPr>
      <w:r w:rsidRPr="001057D8">
        <w:rPr>
          <w:lang w:val="en-US"/>
        </w:rPr>
        <w:t xml:space="preserve">I agree with Councils position that the 35 square metre primary open space area would be more usable if the shed was not located within it.  However, I think the impact of the shed within this location is minor.  I do not accept the argument that the location of the shed impedes the appropriate landscaping of the site.  I am satisfied that the landscaping of the site to the rear in accordance with Garden City policy imperatives can be undertake with the shed in its current location. </w:t>
      </w:r>
      <w:r w:rsidR="00B115FA" w:rsidRPr="001057D8">
        <w:t xml:space="preserve"> To this end, </w:t>
      </w:r>
      <w:r w:rsidRPr="001057D8">
        <w:t xml:space="preserve">I order </w:t>
      </w:r>
      <w:r w:rsidR="00B115FA" w:rsidRPr="001057D8">
        <w:t xml:space="preserve">condition </w:t>
      </w:r>
      <w:r w:rsidRPr="001057D8">
        <w:t>1</w:t>
      </w:r>
      <w:r w:rsidR="00CD5182">
        <w:t>(</w:t>
      </w:r>
      <w:r w:rsidRPr="001057D8">
        <w:t>m</w:t>
      </w:r>
      <w:r w:rsidR="00CD5182">
        <w:t>)</w:t>
      </w:r>
      <w:r w:rsidRPr="001057D8">
        <w:t xml:space="preserve"> </w:t>
      </w:r>
      <w:r w:rsidR="00B115FA" w:rsidRPr="001057D8">
        <w:t xml:space="preserve">will be </w:t>
      </w:r>
      <w:r w:rsidRPr="001057D8">
        <w:t xml:space="preserve">deleted.  </w:t>
      </w:r>
    </w:p>
    <w:p w:rsidR="001057D8" w:rsidRPr="001057D8" w:rsidRDefault="001057D8" w:rsidP="001057D8">
      <w:pPr>
        <w:pStyle w:val="Heading3"/>
      </w:pPr>
      <w:r w:rsidRPr="001057D8">
        <w:t>Conclusion</w:t>
      </w:r>
    </w:p>
    <w:p w:rsidR="001019C1" w:rsidRPr="001057D8" w:rsidRDefault="001019C1" w:rsidP="001057D8">
      <w:pPr>
        <w:pStyle w:val="Para1"/>
      </w:pPr>
      <w:r w:rsidRPr="001057D8">
        <w:t xml:space="preserve">For the reasons given above, the decision of the </w:t>
      </w:r>
      <w:r w:rsidR="0038483E" w:rsidRPr="001057D8">
        <w:t>Responsible Authority</w:t>
      </w:r>
      <w:r w:rsidRPr="001057D8">
        <w:t xml:space="preserve"> is </w:t>
      </w:r>
      <w:r w:rsidR="00745C0A" w:rsidRPr="001057D8">
        <w:t>varied</w:t>
      </w:r>
      <w:r w:rsidRPr="001057D8">
        <w:t>.  A permit is granted subject to conditions</w:t>
      </w:r>
      <w:r w:rsidR="0055436B" w:rsidRPr="001057D8">
        <w:t xml:space="preserve"> in the Planning Permit dated </w:t>
      </w:r>
      <w:r w:rsidR="00745C0A" w:rsidRPr="001057D8">
        <w:t xml:space="preserve">21 August </w:t>
      </w:r>
      <w:r w:rsidR="0055436B" w:rsidRPr="001057D8">
        <w:t>2018</w:t>
      </w:r>
      <w:r w:rsidR="00745C0A" w:rsidRPr="001057D8">
        <w:t xml:space="preserve"> but with Conditions 1(a), 1(b), 1(c), 1(d), 1(e), 1(f), 1(g), 1(k) and 1(m) deleted.  </w:t>
      </w:r>
    </w:p>
    <w:p w:rsidR="001019C1" w:rsidRPr="001057D8" w:rsidRDefault="001019C1" w:rsidP="0055436B">
      <w:pPr>
        <w:pStyle w:val="Order2"/>
        <w:numPr>
          <w:ilvl w:val="0"/>
          <w:numId w:val="0"/>
        </w:numPr>
      </w:pPr>
    </w:p>
    <w:p w:rsidR="001019C1" w:rsidRPr="001057D8" w:rsidRDefault="001019C1" w:rsidP="0055436B">
      <w:pPr>
        <w:pStyle w:val="Order2"/>
        <w:numPr>
          <w:ilvl w:val="0"/>
          <w:numId w:val="0"/>
        </w:numPr>
      </w:pPr>
    </w:p>
    <w:tbl>
      <w:tblPr>
        <w:tblW w:w="0" w:type="auto"/>
        <w:tblLayout w:type="fixed"/>
        <w:tblLook w:val="0000" w:firstRow="0" w:lastRow="0" w:firstColumn="0" w:lastColumn="0" w:noHBand="0" w:noVBand="0"/>
      </w:tblPr>
      <w:tblGrid>
        <w:gridCol w:w="2906"/>
      </w:tblGrid>
      <w:tr w:rsidR="001019C1" w:rsidRPr="00745C0A" w:rsidTr="00126729">
        <w:trPr>
          <w:trHeight w:val="48"/>
        </w:trPr>
        <w:tc>
          <w:tcPr>
            <w:tcW w:w="2906" w:type="dxa"/>
          </w:tcPr>
          <w:p w:rsidR="001019C1" w:rsidRPr="001057D8" w:rsidRDefault="001019C1" w:rsidP="0055436B">
            <w:pPr>
              <w:pStyle w:val="Order2"/>
              <w:numPr>
                <w:ilvl w:val="0"/>
                <w:numId w:val="0"/>
              </w:numPr>
              <w:ind w:left="567" w:hanging="567"/>
            </w:pPr>
            <w:r w:rsidRPr="001057D8">
              <w:t>Alison Slattery</w:t>
            </w:r>
          </w:p>
          <w:p w:rsidR="001019C1" w:rsidRPr="00745C0A" w:rsidRDefault="001019C1" w:rsidP="0055436B">
            <w:pPr>
              <w:pStyle w:val="Order2"/>
              <w:numPr>
                <w:ilvl w:val="0"/>
                <w:numId w:val="0"/>
              </w:numPr>
              <w:ind w:left="567" w:hanging="567"/>
              <w:rPr>
                <w:b/>
              </w:rPr>
            </w:pPr>
            <w:r w:rsidRPr="001057D8">
              <w:rPr>
                <w:b/>
              </w:rPr>
              <w:t>Member</w:t>
            </w:r>
          </w:p>
        </w:tc>
      </w:tr>
    </w:tbl>
    <w:p w:rsidR="001019C1" w:rsidRPr="004151FC" w:rsidRDefault="001019C1" w:rsidP="0055436B">
      <w:pPr>
        <w:pStyle w:val="Order2"/>
        <w:numPr>
          <w:ilvl w:val="0"/>
          <w:numId w:val="0"/>
        </w:numPr>
        <w:ind w:left="567"/>
        <w:rPr>
          <w:highlight w:val="yellow"/>
        </w:rPr>
      </w:pPr>
    </w:p>
    <w:sectPr w:rsidR="001019C1" w:rsidRPr="004151FC">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EB" w:rsidRDefault="00EF32EB">
      <w:r>
        <w:separator/>
      </w:r>
    </w:p>
  </w:endnote>
  <w:endnote w:type="continuationSeparator" w:id="0">
    <w:p w:rsidR="00EF32EB" w:rsidRDefault="00EF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D53DF5">
      <w:trPr>
        <w:cantSplit/>
      </w:trPr>
      <w:tc>
        <w:tcPr>
          <w:tcW w:w="3884" w:type="pct"/>
        </w:tcPr>
        <w:p w:rsidR="00D53DF5" w:rsidRDefault="00D53DF5">
          <w:pPr>
            <w:pStyle w:val="Footer"/>
            <w:spacing w:beforeLines="60" w:before="144"/>
            <w:rPr>
              <w:rFonts w:cs="Arial"/>
              <w:sz w:val="18"/>
              <w:szCs w:val="18"/>
            </w:rPr>
          </w:pPr>
          <w:bookmarkStart w:id="4" w:name="FooterDescription"/>
          <w:bookmarkStart w:id="5" w:name="FooterFileNo1"/>
          <w:bookmarkEnd w:id="4"/>
          <w:bookmarkEnd w:id="5"/>
          <w:r>
            <w:rPr>
              <w:rFonts w:cs="Arial"/>
              <w:sz w:val="18"/>
              <w:szCs w:val="18"/>
            </w:rPr>
            <w:t>VCAT Reference No. P</w:t>
          </w:r>
          <w:r w:rsidR="0060495C">
            <w:rPr>
              <w:rFonts w:cs="Arial"/>
              <w:sz w:val="18"/>
              <w:szCs w:val="18"/>
            </w:rPr>
            <w:t>1836</w:t>
          </w:r>
          <w:r>
            <w:rPr>
              <w:rFonts w:cs="Arial"/>
              <w:sz w:val="18"/>
              <w:szCs w:val="18"/>
            </w:rPr>
            <w:t>/2018</w:t>
          </w:r>
        </w:p>
      </w:tc>
      <w:tc>
        <w:tcPr>
          <w:tcW w:w="1116" w:type="pct"/>
        </w:tcPr>
        <w:p w:rsidR="00D53DF5" w:rsidRDefault="00D53DF5">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A56BA9">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A56BA9">
            <w:rPr>
              <w:rFonts w:cs="Arial"/>
              <w:noProof/>
              <w:sz w:val="18"/>
              <w:szCs w:val="18"/>
            </w:rPr>
            <w:t>7</w:t>
          </w:r>
          <w:r>
            <w:rPr>
              <w:rFonts w:cs="Arial"/>
              <w:sz w:val="18"/>
              <w:szCs w:val="18"/>
            </w:rPr>
            <w:fldChar w:fldCharType="end"/>
          </w:r>
        </w:p>
      </w:tc>
    </w:tr>
  </w:tbl>
  <w:p w:rsidR="00D53DF5" w:rsidRDefault="00D53DF5">
    <w:pPr>
      <w:pStyle w:val="Footer"/>
      <w:rPr>
        <w:sz w:val="2"/>
      </w:rPr>
    </w:pPr>
  </w:p>
  <w:p w:rsidR="00D53DF5" w:rsidRDefault="00D53DF5">
    <w:pPr>
      <w:rPr>
        <w:sz w:val="2"/>
      </w:rPr>
    </w:pPr>
  </w:p>
  <w:p w:rsidR="00D53DF5" w:rsidRDefault="00D53DF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EB" w:rsidRDefault="00EF32EB">
      <w:pPr>
        <w:pStyle w:val="Footer"/>
        <w:pBdr>
          <w:top w:val="single" w:sz="4" w:space="1" w:color="auto"/>
        </w:pBdr>
        <w:rPr>
          <w:sz w:val="12"/>
        </w:rPr>
      </w:pPr>
    </w:p>
  </w:footnote>
  <w:footnote w:type="continuationSeparator" w:id="0">
    <w:p w:rsidR="00EF32EB" w:rsidRDefault="00EF32EB">
      <w:r>
        <w:continuationSeparator/>
      </w:r>
    </w:p>
  </w:footnote>
  <w:footnote w:id="1">
    <w:p w:rsidR="00D97B4C" w:rsidRDefault="00D97B4C" w:rsidP="00D97B4C">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725245"/>
    <w:multiLevelType w:val="hybridMultilevel"/>
    <w:tmpl w:val="E398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417414"/>
    <w:multiLevelType w:val="hybridMultilevel"/>
    <w:tmpl w:val="FC3C4910"/>
    <w:lvl w:ilvl="0" w:tplc="0C090001">
      <w:start w:val="1"/>
      <w:numFmt w:val="bullet"/>
      <w:lvlText w:val=""/>
      <w:lvlJc w:val="left"/>
      <w:pPr>
        <w:tabs>
          <w:tab w:val="num" w:pos="1134"/>
        </w:tabs>
        <w:ind w:left="1134" w:hanging="567"/>
      </w:pPr>
      <w:rPr>
        <w:rFonts w:ascii="Symbol" w:hAnsi="Symbol"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15:restartNumberingAfterBreak="0">
    <w:nsid w:val="2D7B1339"/>
    <w:multiLevelType w:val="multilevel"/>
    <w:tmpl w:val="54C44690"/>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9"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D59A9"/>
    <w:multiLevelType w:val="hybridMultilevel"/>
    <w:tmpl w:val="05B8CE52"/>
    <w:lvl w:ilvl="0" w:tplc="0C090001">
      <w:start w:val="1"/>
      <w:numFmt w:val="bullet"/>
      <w:lvlText w:val=""/>
      <w:lvlJc w:val="left"/>
      <w:pPr>
        <w:tabs>
          <w:tab w:val="num" w:pos="1701"/>
        </w:tabs>
        <w:ind w:left="1701" w:hanging="567"/>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1" w15:restartNumberingAfterBreak="0">
    <w:nsid w:val="3F7F1CE1"/>
    <w:multiLevelType w:val="hybridMultilevel"/>
    <w:tmpl w:val="23BC3BBE"/>
    <w:lvl w:ilvl="0" w:tplc="0C090001">
      <w:start w:val="1"/>
      <w:numFmt w:val="bullet"/>
      <w:lvlText w:val=""/>
      <w:lvlJc w:val="left"/>
      <w:pPr>
        <w:ind w:left="1593" w:hanging="360"/>
      </w:pPr>
      <w:rPr>
        <w:rFonts w:ascii="Symbol" w:hAnsi="Symbol"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12"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4D675AE"/>
    <w:multiLevelType w:val="hybridMultilevel"/>
    <w:tmpl w:val="D6C28DA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44DF51E8"/>
    <w:multiLevelType w:val="hybridMultilevel"/>
    <w:tmpl w:val="024EA146"/>
    <w:lvl w:ilvl="0" w:tplc="FFFFFFFF">
      <w:start w:val="1"/>
      <w:numFmt w:val="lowerLetter"/>
      <w:lvlText w:val="%1."/>
      <w:lvlJc w:val="left"/>
      <w:pPr>
        <w:tabs>
          <w:tab w:val="num" w:pos="1440"/>
        </w:tabs>
        <w:ind w:left="1440"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7663545"/>
    <w:multiLevelType w:val="hybridMultilevel"/>
    <w:tmpl w:val="36D01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F34CEE"/>
    <w:multiLevelType w:val="hybridMultilevel"/>
    <w:tmpl w:val="FD180764"/>
    <w:lvl w:ilvl="0" w:tplc="0C090001">
      <w:start w:val="1"/>
      <w:numFmt w:val="bullet"/>
      <w:lvlText w:val=""/>
      <w:lvlJc w:val="left"/>
      <w:pPr>
        <w:tabs>
          <w:tab w:val="num" w:pos="1134"/>
        </w:tabs>
        <w:ind w:left="1134" w:hanging="567"/>
      </w:pPr>
      <w:rPr>
        <w:rFonts w:ascii="Symbol" w:hAnsi="Symbol"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7" w15:restartNumberingAfterBreak="0">
    <w:nsid w:val="67F854ED"/>
    <w:multiLevelType w:val="multilevel"/>
    <w:tmpl w:val="9744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991207"/>
    <w:multiLevelType w:val="hybridMultilevel"/>
    <w:tmpl w:val="024EA146"/>
    <w:lvl w:ilvl="0" w:tplc="FFFFFFFF">
      <w:start w:val="1"/>
      <w:numFmt w:val="lowerLetter"/>
      <w:lvlText w:val="%1."/>
      <w:lvlJc w:val="left"/>
      <w:pPr>
        <w:tabs>
          <w:tab w:val="num" w:pos="1440"/>
        </w:tabs>
        <w:ind w:left="1440"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C5558D"/>
    <w:multiLevelType w:val="hybridMultilevel"/>
    <w:tmpl w:val="755822E6"/>
    <w:lvl w:ilvl="0" w:tplc="0C090001">
      <w:start w:val="1"/>
      <w:numFmt w:val="bullet"/>
      <w:lvlText w:val=""/>
      <w:lvlJc w:val="left"/>
      <w:pPr>
        <w:tabs>
          <w:tab w:val="num" w:pos="1701"/>
        </w:tabs>
        <w:ind w:left="1701" w:hanging="567"/>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1" w15:restartNumberingAfterBreak="0">
    <w:nsid w:val="6F4B58A7"/>
    <w:multiLevelType w:val="hybridMultilevel"/>
    <w:tmpl w:val="A97C93E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72520BF"/>
    <w:multiLevelType w:val="hybridMultilevel"/>
    <w:tmpl w:val="CBEA4D4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19"/>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3"/>
  </w:num>
  <w:num w:numId="20">
    <w:abstractNumId w:val="13"/>
  </w:num>
  <w:num w:numId="21">
    <w:abstractNumId w:val="16"/>
  </w:num>
  <w:num w:numId="22">
    <w:abstractNumId w:val="5"/>
  </w:num>
  <w:num w:numId="23">
    <w:abstractNumId w:val="7"/>
  </w:num>
  <w:num w:numId="24">
    <w:abstractNumId w:val="17"/>
    <w:lvlOverride w:ilvl="0">
      <w:startOverride w:val="20"/>
    </w:lvlOverride>
  </w:num>
  <w:num w:numId="25">
    <w:abstractNumId w:val="17"/>
    <w:lvlOverride w:ilvl="0">
      <w:startOverride w:val="22"/>
    </w:lvlOverride>
  </w:num>
  <w:num w:numId="26">
    <w:abstractNumId w:val="15"/>
  </w:num>
  <w:num w:numId="27">
    <w:abstractNumId w:val="11"/>
  </w:num>
  <w:num w:numId="28">
    <w:abstractNumId w:val="14"/>
  </w:num>
  <w:num w:numId="29">
    <w:abstractNumId w:val="18"/>
  </w:num>
  <w:num w:numId="30">
    <w:abstractNumId w:val="21"/>
  </w:num>
  <w:num w:numId="31">
    <w:abstractNumId w:val="10"/>
  </w:num>
  <w:num w:numId="32">
    <w:abstractNumId w:val="2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kTiQGdu5ZwDqG73WU6d910mP61QleOZThk5NBPI1GPrL9ymNLaw+QSdDZi1mK632BoavpRQ49S0rR2vZKhcbw==" w:salt="aN5MgzOep1b3rdXt/Tjoh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9BA1290-2F19-4428-8626-1F3473769AB4}"/>
    <w:docVar w:name="dgnword-eventsink" w:val="546887568"/>
    <w:docVar w:name="VCAT Seal" w:val="True"/>
  </w:docVars>
  <w:rsids>
    <w:rsidRoot w:val="002F2BF0"/>
    <w:rsid w:val="0001113F"/>
    <w:rsid w:val="000234DC"/>
    <w:rsid w:val="00027F01"/>
    <w:rsid w:val="000342AB"/>
    <w:rsid w:val="0003503E"/>
    <w:rsid w:val="00057004"/>
    <w:rsid w:val="00061FEB"/>
    <w:rsid w:val="00062780"/>
    <w:rsid w:val="00063C31"/>
    <w:rsid w:val="000654A0"/>
    <w:rsid w:val="000854CC"/>
    <w:rsid w:val="00087ECE"/>
    <w:rsid w:val="000945F9"/>
    <w:rsid w:val="00094A20"/>
    <w:rsid w:val="000F4E28"/>
    <w:rsid w:val="000F62D6"/>
    <w:rsid w:val="001019C1"/>
    <w:rsid w:val="001057D8"/>
    <w:rsid w:val="0010796D"/>
    <w:rsid w:val="00107FCF"/>
    <w:rsid w:val="001123B6"/>
    <w:rsid w:val="00116D24"/>
    <w:rsid w:val="001220AE"/>
    <w:rsid w:val="00124C1E"/>
    <w:rsid w:val="00126729"/>
    <w:rsid w:val="0013312D"/>
    <w:rsid w:val="00142E9E"/>
    <w:rsid w:val="00152541"/>
    <w:rsid w:val="00152595"/>
    <w:rsid w:val="001567AE"/>
    <w:rsid w:val="0016093F"/>
    <w:rsid w:val="00163377"/>
    <w:rsid w:val="00167876"/>
    <w:rsid w:val="001708C4"/>
    <w:rsid w:val="00182A1F"/>
    <w:rsid w:val="0018330C"/>
    <w:rsid w:val="00186EA9"/>
    <w:rsid w:val="0019060A"/>
    <w:rsid w:val="001D0781"/>
    <w:rsid w:val="001D2673"/>
    <w:rsid w:val="001D63A4"/>
    <w:rsid w:val="001E49C7"/>
    <w:rsid w:val="001F2D3D"/>
    <w:rsid w:val="001F7A6D"/>
    <w:rsid w:val="00216038"/>
    <w:rsid w:val="002204B3"/>
    <w:rsid w:val="0023472F"/>
    <w:rsid w:val="002563BE"/>
    <w:rsid w:val="00264181"/>
    <w:rsid w:val="00273C59"/>
    <w:rsid w:val="0028144B"/>
    <w:rsid w:val="0028244B"/>
    <w:rsid w:val="002879FC"/>
    <w:rsid w:val="00290F9B"/>
    <w:rsid w:val="00291624"/>
    <w:rsid w:val="00293A03"/>
    <w:rsid w:val="002A417A"/>
    <w:rsid w:val="002A47E1"/>
    <w:rsid w:val="002A52E0"/>
    <w:rsid w:val="002B7051"/>
    <w:rsid w:val="002C0419"/>
    <w:rsid w:val="002C583A"/>
    <w:rsid w:val="002D05B6"/>
    <w:rsid w:val="002F27B5"/>
    <w:rsid w:val="002F2BF0"/>
    <w:rsid w:val="00312D8A"/>
    <w:rsid w:val="0031301B"/>
    <w:rsid w:val="0032102D"/>
    <w:rsid w:val="00322661"/>
    <w:rsid w:val="00323C1B"/>
    <w:rsid w:val="00331D7E"/>
    <w:rsid w:val="0034213D"/>
    <w:rsid w:val="00357FA7"/>
    <w:rsid w:val="00361E5C"/>
    <w:rsid w:val="00361EF0"/>
    <w:rsid w:val="003813E9"/>
    <w:rsid w:val="0038483E"/>
    <w:rsid w:val="003A7D32"/>
    <w:rsid w:val="003B5E75"/>
    <w:rsid w:val="003D546E"/>
    <w:rsid w:val="003D7278"/>
    <w:rsid w:val="003E11C8"/>
    <w:rsid w:val="003E3E8E"/>
    <w:rsid w:val="0040106D"/>
    <w:rsid w:val="004151FC"/>
    <w:rsid w:val="00434BAA"/>
    <w:rsid w:val="00462E54"/>
    <w:rsid w:val="00467B86"/>
    <w:rsid w:val="00477574"/>
    <w:rsid w:val="004908EE"/>
    <w:rsid w:val="004919B5"/>
    <w:rsid w:val="00495762"/>
    <w:rsid w:val="004A201D"/>
    <w:rsid w:val="004B2E2A"/>
    <w:rsid w:val="004B3605"/>
    <w:rsid w:val="004D0391"/>
    <w:rsid w:val="004D2122"/>
    <w:rsid w:val="004E14AD"/>
    <w:rsid w:val="004F54C1"/>
    <w:rsid w:val="00507771"/>
    <w:rsid w:val="00510802"/>
    <w:rsid w:val="0053467C"/>
    <w:rsid w:val="0055436B"/>
    <w:rsid w:val="005671E7"/>
    <w:rsid w:val="0058084D"/>
    <w:rsid w:val="005823C0"/>
    <w:rsid w:val="0059145F"/>
    <w:rsid w:val="005A73BF"/>
    <w:rsid w:val="005B3D5D"/>
    <w:rsid w:val="005D408F"/>
    <w:rsid w:val="005D6C47"/>
    <w:rsid w:val="005D77CE"/>
    <w:rsid w:val="005E1511"/>
    <w:rsid w:val="005E2D20"/>
    <w:rsid w:val="005E4824"/>
    <w:rsid w:val="005F6FDD"/>
    <w:rsid w:val="00604881"/>
    <w:rsid w:val="0060495C"/>
    <w:rsid w:val="0061698A"/>
    <w:rsid w:val="00647F43"/>
    <w:rsid w:val="0065338E"/>
    <w:rsid w:val="00680AFF"/>
    <w:rsid w:val="00682C14"/>
    <w:rsid w:val="00684058"/>
    <w:rsid w:val="00697776"/>
    <w:rsid w:val="006A0FB3"/>
    <w:rsid w:val="006C7549"/>
    <w:rsid w:val="006D6DDA"/>
    <w:rsid w:val="006E7914"/>
    <w:rsid w:val="00705098"/>
    <w:rsid w:val="00726365"/>
    <w:rsid w:val="007301D6"/>
    <w:rsid w:val="00745C0A"/>
    <w:rsid w:val="007617B5"/>
    <w:rsid w:val="00763504"/>
    <w:rsid w:val="00764EDD"/>
    <w:rsid w:val="00767C80"/>
    <w:rsid w:val="007727DF"/>
    <w:rsid w:val="00776999"/>
    <w:rsid w:val="00780572"/>
    <w:rsid w:val="0079593A"/>
    <w:rsid w:val="00796305"/>
    <w:rsid w:val="007B3A47"/>
    <w:rsid w:val="007C5704"/>
    <w:rsid w:val="007D487A"/>
    <w:rsid w:val="007F35A5"/>
    <w:rsid w:val="007F601B"/>
    <w:rsid w:val="007F77A1"/>
    <w:rsid w:val="00805943"/>
    <w:rsid w:val="008128BB"/>
    <w:rsid w:val="00812BED"/>
    <w:rsid w:val="00812EEA"/>
    <w:rsid w:val="008211FD"/>
    <w:rsid w:val="00825491"/>
    <w:rsid w:val="008265B7"/>
    <w:rsid w:val="00830459"/>
    <w:rsid w:val="0084488B"/>
    <w:rsid w:val="0084497D"/>
    <w:rsid w:val="00847223"/>
    <w:rsid w:val="00854CE8"/>
    <w:rsid w:val="008602F8"/>
    <w:rsid w:val="00862A8E"/>
    <w:rsid w:val="00877DC5"/>
    <w:rsid w:val="008A247D"/>
    <w:rsid w:val="008A46EC"/>
    <w:rsid w:val="008A5793"/>
    <w:rsid w:val="008B4936"/>
    <w:rsid w:val="008B6F8E"/>
    <w:rsid w:val="008B7EB8"/>
    <w:rsid w:val="008C1674"/>
    <w:rsid w:val="008E68C1"/>
    <w:rsid w:val="00920060"/>
    <w:rsid w:val="00922F18"/>
    <w:rsid w:val="00924205"/>
    <w:rsid w:val="00926A96"/>
    <w:rsid w:val="00932AF9"/>
    <w:rsid w:val="0094148C"/>
    <w:rsid w:val="00956463"/>
    <w:rsid w:val="00961FB2"/>
    <w:rsid w:val="00966BE6"/>
    <w:rsid w:val="0097420E"/>
    <w:rsid w:val="009804A9"/>
    <w:rsid w:val="00993294"/>
    <w:rsid w:val="009C06C7"/>
    <w:rsid w:val="009C7169"/>
    <w:rsid w:val="009D0685"/>
    <w:rsid w:val="009D7147"/>
    <w:rsid w:val="009F3C0F"/>
    <w:rsid w:val="00A150D3"/>
    <w:rsid w:val="00A30D6A"/>
    <w:rsid w:val="00A35800"/>
    <w:rsid w:val="00A36BAF"/>
    <w:rsid w:val="00A53783"/>
    <w:rsid w:val="00A56BA9"/>
    <w:rsid w:val="00AA587E"/>
    <w:rsid w:val="00AB161B"/>
    <w:rsid w:val="00AB29FA"/>
    <w:rsid w:val="00AF2718"/>
    <w:rsid w:val="00B01DC8"/>
    <w:rsid w:val="00B115FA"/>
    <w:rsid w:val="00B134F7"/>
    <w:rsid w:val="00B160AF"/>
    <w:rsid w:val="00B24B9B"/>
    <w:rsid w:val="00B30FB4"/>
    <w:rsid w:val="00B355D6"/>
    <w:rsid w:val="00B36ACB"/>
    <w:rsid w:val="00B371E4"/>
    <w:rsid w:val="00B5042E"/>
    <w:rsid w:val="00B523A8"/>
    <w:rsid w:val="00B646A6"/>
    <w:rsid w:val="00B72A36"/>
    <w:rsid w:val="00B82707"/>
    <w:rsid w:val="00B82972"/>
    <w:rsid w:val="00B86536"/>
    <w:rsid w:val="00B876A2"/>
    <w:rsid w:val="00BA1951"/>
    <w:rsid w:val="00BB7851"/>
    <w:rsid w:val="00BC219D"/>
    <w:rsid w:val="00C10388"/>
    <w:rsid w:val="00C22803"/>
    <w:rsid w:val="00C26EBF"/>
    <w:rsid w:val="00C7408F"/>
    <w:rsid w:val="00C755D1"/>
    <w:rsid w:val="00CA2144"/>
    <w:rsid w:val="00CA2642"/>
    <w:rsid w:val="00CC19B1"/>
    <w:rsid w:val="00CC4821"/>
    <w:rsid w:val="00CC561A"/>
    <w:rsid w:val="00CC6FF1"/>
    <w:rsid w:val="00CD1F2A"/>
    <w:rsid w:val="00CD5182"/>
    <w:rsid w:val="00CE2838"/>
    <w:rsid w:val="00CE68A9"/>
    <w:rsid w:val="00CF3A02"/>
    <w:rsid w:val="00D03F21"/>
    <w:rsid w:val="00D0529D"/>
    <w:rsid w:val="00D13BA6"/>
    <w:rsid w:val="00D14A42"/>
    <w:rsid w:val="00D23389"/>
    <w:rsid w:val="00D24AFE"/>
    <w:rsid w:val="00D24B15"/>
    <w:rsid w:val="00D26344"/>
    <w:rsid w:val="00D30B67"/>
    <w:rsid w:val="00D3280E"/>
    <w:rsid w:val="00D53DF5"/>
    <w:rsid w:val="00D601E9"/>
    <w:rsid w:val="00D6081F"/>
    <w:rsid w:val="00D616BA"/>
    <w:rsid w:val="00D64D3E"/>
    <w:rsid w:val="00D75C47"/>
    <w:rsid w:val="00D97B4C"/>
    <w:rsid w:val="00DA674B"/>
    <w:rsid w:val="00DB22B3"/>
    <w:rsid w:val="00DB4C0E"/>
    <w:rsid w:val="00DC7AE7"/>
    <w:rsid w:val="00DC7C16"/>
    <w:rsid w:val="00DD1236"/>
    <w:rsid w:val="00DD240D"/>
    <w:rsid w:val="00DD7B01"/>
    <w:rsid w:val="00DE12FF"/>
    <w:rsid w:val="00DF621A"/>
    <w:rsid w:val="00E002C5"/>
    <w:rsid w:val="00E108CC"/>
    <w:rsid w:val="00E200CF"/>
    <w:rsid w:val="00E22A2C"/>
    <w:rsid w:val="00E248A8"/>
    <w:rsid w:val="00E62037"/>
    <w:rsid w:val="00E73D6D"/>
    <w:rsid w:val="00E82B70"/>
    <w:rsid w:val="00EA5010"/>
    <w:rsid w:val="00EA5975"/>
    <w:rsid w:val="00EB1C59"/>
    <w:rsid w:val="00ED56ED"/>
    <w:rsid w:val="00ED7A09"/>
    <w:rsid w:val="00EE5E8E"/>
    <w:rsid w:val="00EF32EB"/>
    <w:rsid w:val="00F338E1"/>
    <w:rsid w:val="00F41E08"/>
    <w:rsid w:val="00F504F3"/>
    <w:rsid w:val="00F55C68"/>
    <w:rsid w:val="00F60617"/>
    <w:rsid w:val="00F773CF"/>
    <w:rsid w:val="00F85DC2"/>
    <w:rsid w:val="00F9058C"/>
    <w:rsid w:val="00F94FD0"/>
    <w:rsid w:val="00FA093F"/>
    <w:rsid w:val="00FD61FB"/>
    <w:rsid w:val="00FD7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4D8857-73B8-4557-8A84-5EC4416D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
    <w:name w:val="Para 1 Char"/>
    <w:link w:val="Para1"/>
    <w:locked/>
    <w:rsid w:val="009D7147"/>
    <w:rPr>
      <w:sz w:val="26"/>
      <w:szCs w:val="26"/>
      <w:lang w:eastAsia="en-US"/>
    </w:rPr>
  </w:style>
  <w:style w:type="paragraph" w:styleId="ListParagraph">
    <w:name w:val="List Paragraph"/>
    <w:basedOn w:val="Normal"/>
    <w:uiPriority w:val="34"/>
    <w:qFormat/>
    <w:rsid w:val="009D7147"/>
    <w:pPr>
      <w:ind w:left="720"/>
    </w:pPr>
  </w:style>
  <w:style w:type="character" w:customStyle="1" w:styleId="Para1Char1">
    <w:name w:val="Para 1 Char1"/>
    <w:rsid w:val="00107FCF"/>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4322768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676426179">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03201451">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771849530">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0044-A213-4A4B-B5F5-37C8CCB5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1861</Words>
  <Characters>10609</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Alison M Slattery (CSV)</dc:creator>
  <cp:keywords/>
  <dc:description/>
  <cp:lastModifiedBy>Morsal Bashir</cp:lastModifiedBy>
  <cp:revision>2</cp:revision>
  <cp:lastPrinted>2019-05-28T03:11:00Z</cp:lastPrinted>
  <dcterms:created xsi:type="dcterms:W3CDTF">2019-05-31T05:05:00Z</dcterms:created>
  <dcterms:modified xsi:type="dcterms:W3CDTF">2019-05-31T05:05:00Z</dcterms:modified>
</cp:coreProperties>
</file>