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07F" w:rsidRDefault="006A30ED">
      <w:pPr>
        <w:pStyle w:val="Heading1"/>
        <w:jc w:val="left"/>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t>VICTORIAN CIVIL AND ADMINISTRATIVE TRIBUNAL</w:t>
      </w:r>
    </w:p>
    <w:p w:rsidR="00FC407F" w:rsidRDefault="0004453F">
      <w:pPr>
        <w:pStyle w:val="Heading1"/>
        <w:jc w:val="left"/>
      </w:pPr>
      <w:bookmarkStart w:id="1" w:name="Division"/>
      <w:bookmarkEnd w:id="1"/>
      <w:r>
        <w:t xml:space="preserve">planning and environment </w:t>
      </w:r>
      <w:r w:rsidR="00FC407F">
        <w:t>DIVISION</w:t>
      </w:r>
    </w:p>
    <w:tbl>
      <w:tblPr>
        <w:tblW w:w="8928" w:type="dxa"/>
        <w:tblLayout w:type="fixed"/>
        <w:tblLook w:val="0000" w:firstRow="0" w:lastRow="0" w:firstColumn="0" w:lastColumn="0" w:noHBand="0" w:noVBand="0"/>
      </w:tblPr>
      <w:tblGrid>
        <w:gridCol w:w="4608"/>
        <w:gridCol w:w="4320"/>
      </w:tblGrid>
      <w:tr w:rsidR="00FC407F">
        <w:trPr>
          <w:cantSplit/>
        </w:trPr>
        <w:tc>
          <w:tcPr>
            <w:tcW w:w="4608" w:type="dxa"/>
          </w:tcPr>
          <w:p w:rsidR="00FC407F" w:rsidRDefault="00FC407F">
            <w:pPr>
              <w:pStyle w:val="Heading1"/>
              <w:jc w:val="left"/>
            </w:pPr>
            <w:bookmarkStart w:id="2" w:name="SubDivision"/>
            <w:bookmarkEnd w:id="2"/>
            <w:r>
              <w:t>planning and environment LIST</w:t>
            </w:r>
          </w:p>
        </w:tc>
        <w:tc>
          <w:tcPr>
            <w:tcW w:w="4320" w:type="dxa"/>
          </w:tcPr>
          <w:p w:rsidR="00FC407F" w:rsidRDefault="00FC407F">
            <w:pPr>
              <w:pStyle w:val="TitlePage3"/>
            </w:pPr>
            <w:r>
              <w:t xml:space="preserve">vcat reference No. </w:t>
            </w:r>
            <w:r w:rsidR="00222C9D">
              <w:t>P</w:t>
            </w:r>
            <w:r w:rsidR="000809FC">
              <w:t>2043</w:t>
            </w:r>
            <w:r w:rsidR="00AE6E02">
              <w:t>/201</w:t>
            </w:r>
            <w:r w:rsidR="003838D9">
              <w:t>9</w:t>
            </w:r>
          </w:p>
          <w:p w:rsidR="00FC407F" w:rsidRDefault="00FC407F">
            <w:pPr>
              <w:pStyle w:val="TitlePage3"/>
            </w:pPr>
            <w:r>
              <w:t xml:space="preserve">Permit Application no. </w:t>
            </w:r>
            <w:r w:rsidR="0028202F">
              <w:t>TPA</w:t>
            </w:r>
            <w:r w:rsidR="00035F9A">
              <w:t>/</w:t>
            </w:r>
            <w:r w:rsidR="000809FC">
              <w:t>50110</w:t>
            </w:r>
          </w:p>
        </w:tc>
        <w:bookmarkStart w:id="3" w:name="FileNo1"/>
        <w:bookmarkEnd w:id="3"/>
      </w:tr>
    </w:tbl>
    <w:p w:rsidR="00FC407F" w:rsidRDefault="00FC407F">
      <w:pPr>
        <w:jc w:val="center"/>
      </w:pPr>
    </w:p>
    <w:tbl>
      <w:tblPr>
        <w:tblW w:w="8926" w:type="dxa"/>
        <w:jc w:val="center"/>
        <w:tblLayout w:type="fixed"/>
        <w:tblLook w:val="0000" w:firstRow="0" w:lastRow="0" w:firstColumn="0" w:lastColumn="0" w:noHBand="0" w:noVBand="0"/>
      </w:tblPr>
      <w:tblGrid>
        <w:gridCol w:w="8926"/>
      </w:tblGrid>
      <w:tr w:rsidR="00FC407F">
        <w:trPr>
          <w:cantSplit/>
          <w:jc w:val="center"/>
        </w:trPr>
        <w:tc>
          <w:tcPr>
            <w:tcW w:w="8926" w:type="dxa"/>
          </w:tcPr>
          <w:p w:rsidR="00FC407F" w:rsidRDefault="00FC407F">
            <w:pPr>
              <w:pStyle w:val="Heading2"/>
              <w:jc w:val="center"/>
            </w:pPr>
            <w:bookmarkStart w:id="4" w:name="Catchwords"/>
            <w:bookmarkEnd w:id="4"/>
            <w:r>
              <w:t>CATCHWORDS</w:t>
            </w:r>
          </w:p>
        </w:tc>
      </w:tr>
      <w:tr w:rsidR="00FC407F">
        <w:trPr>
          <w:cantSplit/>
          <w:jc w:val="center"/>
        </w:trPr>
        <w:tc>
          <w:tcPr>
            <w:tcW w:w="8926" w:type="dxa"/>
          </w:tcPr>
          <w:p w:rsidR="00FC407F" w:rsidRDefault="00525A12" w:rsidP="00525A12">
            <w:pPr>
              <w:pStyle w:val="Catchwords"/>
              <w:jc w:val="center"/>
              <w:rPr>
                <w:sz w:val="16"/>
                <w:szCs w:val="16"/>
              </w:rPr>
            </w:pPr>
            <w:r w:rsidRPr="00434DA9">
              <w:rPr>
                <w:sz w:val="16"/>
                <w:szCs w:val="16"/>
              </w:rPr>
              <w:t>Section 7</w:t>
            </w:r>
            <w:r w:rsidR="000809FC">
              <w:rPr>
                <w:sz w:val="16"/>
                <w:szCs w:val="16"/>
              </w:rPr>
              <w:t>9</w:t>
            </w:r>
            <w:r w:rsidRPr="00434DA9">
              <w:rPr>
                <w:sz w:val="16"/>
                <w:szCs w:val="16"/>
              </w:rPr>
              <w:t xml:space="preserve"> of the </w:t>
            </w:r>
            <w:r w:rsidRPr="00434DA9">
              <w:rPr>
                <w:i/>
                <w:sz w:val="16"/>
                <w:szCs w:val="16"/>
              </w:rPr>
              <w:t>Planning &amp; Environment Act</w:t>
            </w:r>
            <w:r w:rsidRPr="00434DA9">
              <w:rPr>
                <w:sz w:val="16"/>
                <w:szCs w:val="16"/>
              </w:rPr>
              <w:t xml:space="preserve"> 1987; </w:t>
            </w:r>
            <w:r w:rsidR="0028202F">
              <w:rPr>
                <w:sz w:val="16"/>
                <w:szCs w:val="16"/>
              </w:rPr>
              <w:t>Monash</w:t>
            </w:r>
            <w:r w:rsidRPr="00434DA9">
              <w:rPr>
                <w:sz w:val="16"/>
                <w:szCs w:val="16"/>
              </w:rPr>
              <w:t xml:space="preserve"> Planning Scheme; </w:t>
            </w:r>
            <w:r w:rsidRPr="00434DA9">
              <w:rPr>
                <w:sz w:val="16"/>
                <w:szCs w:val="16"/>
              </w:rPr>
              <w:br/>
            </w:r>
            <w:r w:rsidR="000809FC">
              <w:rPr>
                <w:sz w:val="16"/>
                <w:szCs w:val="16"/>
              </w:rPr>
              <w:t>Student housing</w:t>
            </w:r>
            <w:r w:rsidR="002E3626">
              <w:rPr>
                <w:sz w:val="16"/>
                <w:szCs w:val="16"/>
              </w:rPr>
              <w:t xml:space="preserve"> –</w:t>
            </w:r>
            <w:r w:rsidR="003838D9">
              <w:rPr>
                <w:sz w:val="16"/>
                <w:szCs w:val="16"/>
              </w:rPr>
              <w:t xml:space="preserve"> </w:t>
            </w:r>
            <w:r w:rsidR="000809FC">
              <w:rPr>
                <w:sz w:val="16"/>
                <w:szCs w:val="16"/>
              </w:rPr>
              <w:t>GRZ6</w:t>
            </w:r>
            <w:r w:rsidR="0028202F">
              <w:rPr>
                <w:sz w:val="16"/>
                <w:szCs w:val="16"/>
              </w:rPr>
              <w:t>, Cl</w:t>
            </w:r>
            <w:r w:rsidR="007C336C">
              <w:rPr>
                <w:sz w:val="16"/>
                <w:szCs w:val="16"/>
              </w:rPr>
              <w:t>s</w:t>
            </w:r>
            <w:r w:rsidR="0028202F">
              <w:rPr>
                <w:sz w:val="16"/>
                <w:szCs w:val="16"/>
              </w:rPr>
              <w:t>. 22.01</w:t>
            </w:r>
            <w:r w:rsidR="007C336C">
              <w:rPr>
                <w:sz w:val="16"/>
                <w:szCs w:val="16"/>
              </w:rPr>
              <w:t xml:space="preserve"> &amp; 22.10</w:t>
            </w:r>
          </w:p>
        </w:tc>
      </w:tr>
    </w:tbl>
    <w:p w:rsidR="00FC407F" w:rsidRDefault="00FC407F"/>
    <w:p w:rsidR="00FC407F" w:rsidRDefault="00FC407F"/>
    <w:tbl>
      <w:tblPr>
        <w:tblW w:w="8928" w:type="dxa"/>
        <w:tblLayout w:type="fixed"/>
        <w:tblLook w:val="0000" w:firstRow="0" w:lastRow="0" w:firstColumn="0" w:lastColumn="0" w:noHBand="0" w:noVBand="0"/>
      </w:tblPr>
      <w:tblGrid>
        <w:gridCol w:w="3528"/>
        <w:gridCol w:w="5400"/>
      </w:tblGrid>
      <w:tr w:rsidR="00FC407F">
        <w:tc>
          <w:tcPr>
            <w:tcW w:w="3528" w:type="dxa"/>
          </w:tcPr>
          <w:p w:rsidR="00FC407F" w:rsidRDefault="00FC407F">
            <w:pPr>
              <w:pStyle w:val="TitlePage2"/>
            </w:pPr>
            <w:r>
              <w:t>APPLICANT</w:t>
            </w:r>
          </w:p>
        </w:tc>
        <w:tc>
          <w:tcPr>
            <w:tcW w:w="5400" w:type="dxa"/>
          </w:tcPr>
          <w:p w:rsidR="00FC407F" w:rsidRDefault="000809FC">
            <w:pPr>
              <w:pStyle w:val="TitlePagetext"/>
            </w:pPr>
            <w:bookmarkStart w:id="5" w:name="Applicant"/>
            <w:bookmarkEnd w:id="5"/>
            <w:r>
              <w:t>2 Parker Street Pty Ltd</w:t>
            </w:r>
          </w:p>
        </w:tc>
      </w:tr>
      <w:tr w:rsidR="00FC407F">
        <w:tc>
          <w:tcPr>
            <w:tcW w:w="3528" w:type="dxa"/>
          </w:tcPr>
          <w:p w:rsidR="00FC407F" w:rsidRDefault="00FC407F">
            <w:pPr>
              <w:pStyle w:val="TitlePage2"/>
            </w:pPr>
            <w:r>
              <w:t>RESPONSIBLE AUTHORITY</w:t>
            </w:r>
          </w:p>
        </w:tc>
        <w:tc>
          <w:tcPr>
            <w:tcW w:w="5400" w:type="dxa"/>
          </w:tcPr>
          <w:p w:rsidR="00FC407F" w:rsidRDefault="0028202F">
            <w:pPr>
              <w:pStyle w:val="TitlePagetext"/>
            </w:pPr>
            <w:r>
              <w:t>Monash</w:t>
            </w:r>
            <w:r w:rsidR="00525A12">
              <w:t xml:space="preserve"> City Council</w:t>
            </w:r>
          </w:p>
        </w:tc>
      </w:tr>
      <w:tr w:rsidR="000809FC">
        <w:tc>
          <w:tcPr>
            <w:tcW w:w="3528" w:type="dxa"/>
          </w:tcPr>
          <w:p w:rsidR="000809FC" w:rsidRDefault="000809FC">
            <w:pPr>
              <w:pStyle w:val="TitlePage2"/>
            </w:pPr>
            <w:r>
              <w:t>respondent</w:t>
            </w:r>
          </w:p>
        </w:tc>
        <w:tc>
          <w:tcPr>
            <w:tcW w:w="5400" w:type="dxa"/>
          </w:tcPr>
          <w:p w:rsidR="000809FC" w:rsidRDefault="000809FC">
            <w:pPr>
              <w:pStyle w:val="TitlePagetext"/>
            </w:pPr>
            <w:r>
              <w:t>Stephen Melis</w:t>
            </w:r>
          </w:p>
        </w:tc>
      </w:tr>
      <w:tr w:rsidR="00FC407F">
        <w:tc>
          <w:tcPr>
            <w:tcW w:w="3528" w:type="dxa"/>
          </w:tcPr>
          <w:p w:rsidR="00FC407F" w:rsidRDefault="00FC407F">
            <w:pPr>
              <w:pStyle w:val="TitlePage2"/>
            </w:pPr>
            <w:r>
              <w:t>SUBJECT LAND</w:t>
            </w:r>
          </w:p>
        </w:tc>
        <w:tc>
          <w:tcPr>
            <w:tcW w:w="5400" w:type="dxa"/>
          </w:tcPr>
          <w:p w:rsidR="00FC407F" w:rsidRDefault="000809FC">
            <w:pPr>
              <w:pStyle w:val="TitlePagetext"/>
            </w:pPr>
            <w:r>
              <w:t>2 Parker Street</w:t>
            </w:r>
            <w:r w:rsidR="003C5B25">
              <w:t xml:space="preserve">, </w:t>
            </w:r>
            <w:r w:rsidR="0028202F">
              <w:t>Clayton</w:t>
            </w:r>
          </w:p>
        </w:tc>
      </w:tr>
      <w:tr w:rsidR="00FC407F">
        <w:tc>
          <w:tcPr>
            <w:tcW w:w="3528" w:type="dxa"/>
          </w:tcPr>
          <w:p w:rsidR="00FC407F" w:rsidRDefault="00FC407F">
            <w:pPr>
              <w:pStyle w:val="TitlePage2"/>
            </w:pPr>
            <w:r>
              <w:t>WHERE HELD</w:t>
            </w:r>
          </w:p>
        </w:tc>
        <w:tc>
          <w:tcPr>
            <w:tcW w:w="5400" w:type="dxa"/>
          </w:tcPr>
          <w:p w:rsidR="00FC407F" w:rsidRDefault="00FC407F">
            <w:pPr>
              <w:pStyle w:val="TitlePagetext"/>
            </w:pPr>
            <w:bookmarkStart w:id="6" w:name="subjectland"/>
            <w:bookmarkEnd w:id="6"/>
            <w:smartTag w:uri="urn:schemas-microsoft-com:office:smarttags" w:element="place">
              <w:smartTag w:uri="urn:schemas-microsoft-com:office:smarttags" w:element="City">
                <w:r>
                  <w:t>Melbourne</w:t>
                </w:r>
              </w:smartTag>
            </w:smartTag>
          </w:p>
        </w:tc>
      </w:tr>
      <w:tr w:rsidR="00FC407F">
        <w:tc>
          <w:tcPr>
            <w:tcW w:w="3528" w:type="dxa"/>
          </w:tcPr>
          <w:p w:rsidR="00FC407F" w:rsidRDefault="00FC407F">
            <w:pPr>
              <w:pStyle w:val="TitlePage2"/>
            </w:pPr>
            <w:r>
              <w:t>BEFORE</w:t>
            </w:r>
          </w:p>
        </w:tc>
        <w:tc>
          <w:tcPr>
            <w:tcW w:w="5400" w:type="dxa"/>
          </w:tcPr>
          <w:p w:rsidR="00FC407F" w:rsidRDefault="00AD5463">
            <w:pPr>
              <w:pStyle w:val="TitlePagetext"/>
            </w:pPr>
            <w:bookmarkStart w:id="7" w:name="Location"/>
            <w:bookmarkEnd w:id="7"/>
            <w:r>
              <w:t>Tracy Watson, Member</w:t>
            </w:r>
          </w:p>
        </w:tc>
      </w:tr>
      <w:tr w:rsidR="00FC407F">
        <w:tc>
          <w:tcPr>
            <w:tcW w:w="3528" w:type="dxa"/>
          </w:tcPr>
          <w:p w:rsidR="00FC407F" w:rsidRDefault="00FC407F">
            <w:pPr>
              <w:pStyle w:val="TitlePage2"/>
            </w:pPr>
            <w:r>
              <w:t>HEARING TYPE</w:t>
            </w:r>
          </w:p>
        </w:tc>
        <w:tc>
          <w:tcPr>
            <w:tcW w:w="5400" w:type="dxa"/>
          </w:tcPr>
          <w:p w:rsidR="00FC407F" w:rsidRDefault="00FC407F">
            <w:pPr>
              <w:pStyle w:val="TitlePagetext"/>
            </w:pPr>
            <w:bookmarkStart w:id="8" w:name="Before"/>
            <w:bookmarkEnd w:id="8"/>
            <w:r>
              <w:t>Hearing</w:t>
            </w:r>
          </w:p>
        </w:tc>
      </w:tr>
      <w:tr w:rsidR="00FC407F">
        <w:tc>
          <w:tcPr>
            <w:tcW w:w="3528" w:type="dxa"/>
          </w:tcPr>
          <w:p w:rsidR="00FC407F" w:rsidRDefault="00FC407F">
            <w:pPr>
              <w:pStyle w:val="TitlePage2"/>
            </w:pPr>
            <w:r>
              <w:t>DATE OF HEARING</w:t>
            </w:r>
          </w:p>
        </w:tc>
        <w:tc>
          <w:tcPr>
            <w:tcW w:w="5400" w:type="dxa"/>
          </w:tcPr>
          <w:p w:rsidR="00FC407F" w:rsidRDefault="000809FC">
            <w:pPr>
              <w:pStyle w:val="TitlePagetext"/>
            </w:pPr>
            <w:bookmarkStart w:id="9" w:name="HearingType"/>
            <w:bookmarkEnd w:id="9"/>
            <w:r>
              <w:t>26 August 2020</w:t>
            </w:r>
          </w:p>
        </w:tc>
      </w:tr>
      <w:tr w:rsidR="00FC407F">
        <w:tc>
          <w:tcPr>
            <w:tcW w:w="3528" w:type="dxa"/>
          </w:tcPr>
          <w:p w:rsidR="00FC407F" w:rsidRDefault="00FC407F">
            <w:pPr>
              <w:pStyle w:val="TitlePage2"/>
            </w:pPr>
            <w:r>
              <w:t>DATE OF ORDER</w:t>
            </w:r>
          </w:p>
        </w:tc>
        <w:tc>
          <w:tcPr>
            <w:tcW w:w="5400" w:type="dxa"/>
          </w:tcPr>
          <w:p w:rsidR="00FC407F" w:rsidRDefault="000809FC">
            <w:pPr>
              <w:pStyle w:val="TitlePagetext"/>
            </w:pPr>
            <w:bookmarkStart w:id="10" w:name="HearingDate"/>
            <w:bookmarkEnd w:id="10"/>
            <w:r>
              <w:t>30 September</w:t>
            </w:r>
            <w:r w:rsidR="0028202F">
              <w:t xml:space="preserve"> 2020</w:t>
            </w:r>
          </w:p>
        </w:tc>
      </w:tr>
      <w:tr w:rsidR="00FC407F">
        <w:tc>
          <w:tcPr>
            <w:tcW w:w="3528" w:type="dxa"/>
          </w:tcPr>
          <w:p w:rsidR="00FC407F" w:rsidRDefault="00FC407F">
            <w:pPr>
              <w:pStyle w:val="TitlePage2"/>
            </w:pPr>
            <w:r>
              <w:t>CITATION</w:t>
            </w:r>
          </w:p>
        </w:tc>
        <w:tc>
          <w:tcPr>
            <w:tcW w:w="5400" w:type="dxa"/>
          </w:tcPr>
          <w:p w:rsidR="00FC407F" w:rsidRPr="00E248F7" w:rsidRDefault="000809FC">
            <w:pPr>
              <w:pStyle w:val="TitlePagetext"/>
            </w:pPr>
            <w:bookmarkStart w:id="11" w:name="DateOrder"/>
            <w:bookmarkEnd w:id="11"/>
            <w:r>
              <w:rPr>
                <w:color w:val="000000"/>
                <w:lang w:eastAsia="en-AU"/>
              </w:rPr>
              <w:t>2 Parker Street Pty Ltd</w:t>
            </w:r>
            <w:r w:rsidR="00BE2C01">
              <w:rPr>
                <w:color w:val="000000"/>
                <w:lang w:eastAsia="en-AU"/>
              </w:rPr>
              <w:t xml:space="preserve"> v </w:t>
            </w:r>
            <w:r w:rsidR="0028202F">
              <w:rPr>
                <w:color w:val="000000"/>
                <w:lang w:eastAsia="en-AU"/>
              </w:rPr>
              <w:t>Monash</w:t>
            </w:r>
            <w:r w:rsidR="00BE2C01">
              <w:rPr>
                <w:color w:val="000000"/>
                <w:lang w:eastAsia="en-AU"/>
              </w:rPr>
              <w:t xml:space="preserve"> CC [20</w:t>
            </w:r>
            <w:r w:rsidR="0028202F">
              <w:rPr>
                <w:color w:val="000000"/>
                <w:lang w:eastAsia="en-AU"/>
              </w:rPr>
              <w:t>20</w:t>
            </w:r>
            <w:r w:rsidR="00E248F7" w:rsidRPr="00E248F7">
              <w:rPr>
                <w:color w:val="000000"/>
                <w:lang w:eastAsia="en-AU"/>
              </w:rPr>
              <w:t xml:space="preserve">] VCAT </w:t>
            </w:r>
            <w:r w:rsidR="003A5589" w:rsidRPr="003A5589">
              <w:rPr>
                <w:lang w:eastAsia="en-AU"/>
              </w:rPr>
              <w:t>1095</w:t>
            </w:r>
          </w:p>
        </w:tc>
      </w:tr>
    </w:tbl>
    <w:p w:rsidR="00FC407F" w:rsidRDefault="00FC407F"/>
    <w:p w:rsidR="00FC407F" w:rsidRDefault="00FC407F" w:rsidP="00525A12">
      <w:pPr>
        <w:pStyle w:val="Heading1"/>
        <w:spacing w:after="360"/>
        <w:ind w:right="-130"/>
      </w:pPr>
      <w:r>
        <w:t>Order</w:t>
      </w:r>
    </w:p>
    <w:p w:rsidR="00E036F1" w:rsidRDefault="00E036F1" w:rsidP="00E036F1">
      <w:pPr>
        <w:pStyle w:val="Order2"/>
        <w:numPr>
          <w:ilvl w:val="0"/>
          <w:numId w:val="6"/>
        </w:numPr>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8"/>
        <w:gridCol w:w="5027"/>
      </w:tblGrid>
      <w:tr w:rsidR="00E036F1" w:rsidTr="00700259">
        <w:tc>
          <w:tcPr>
            <w:tcW w:w="3528" w:type="dxa"/>
            <w:shd w:val="clear" w:color="auto" w:fill="auto"/>
          </w:tcPr>
          <w:p w:rsidR="00E036F1" w:rsidRDefault="00E036F1" w:rsidP="00700259">
            <w:pPr>
              <w:pStyle w:val="Para5"/>
            </w:pPr>
            <w:r>
              <w:t>Prepared by:</w:t>
            </w:r>
          </w:p>
        </w:tc>
        <w:tc>
          <w:tcPr>
            <w:tcW w:w="5193" w:type="dxa"/>
            <w:shd w:val="clear" w:color="auto" w:fill="auto"/>
          </w:tcPr>
          <w:p w:rsidR="00E036F1" w:rsidRDefault="00E036F1" w:rsidP="00700259">
            <w:pPr>
              <w:pStyle w:val="Para2"/>
              <w:ind w:left="0"/>
            </w:pPr>
            <w:r>
              <w:t>Eco-Urban Design Studio Pty Ltd</w:t>
            </w:r>
          </w:p>
        </w:tc>
      </w:tr>
      <w:tr w:rsidR="00E036F1" w:rsidTr="00700259">
        <w:tc>
          <w:tcPr>
            <w:tcW w:w="3528" w:type="dxa"/>
            <w:shd w:val="clear" w:color="auto" w:fill="auto"/>
          </w:tcPr>
          <w:p w:rsidR="00E036F1" w:rsidRDefault="00E036F1" w:rsidP="00700259">
            <w:pPr>
              <w:pStyle w:val="Para5"/>
            </w:pPr>
            <w:r>
              <w:t>Drawing numbers:</w:t>
            </w:r>
          </w:p>
        </w:tc>
        <w:tc>
          <w:tcPr>
            <w:tcW w:w="5193" w:type="dxa"/>
            <w:shd w:val="clear" w:color="auto" w:fill="auto"/>
          </w:tcPr>
          <w:p w:rsidR="00E036F1" w:rsidRDefault="00E036F1" w:rsidP="00700259">
            <w:pPr>
              <w:pStyle w:val="Para2"/>
              <w:ind w:left="0"/>
            </w:pPr>
            <w:r>
              <w:t>TP03(C) to TP07(C) – All Revision C</w:t>
            </w:r>
          </w:p>
        </w:tc>
      </w:tr>
      <w:tr w:rsidR="00E036F1" w:rsidTr="00700259">
        <w:tc>
          <w:tcPr>
            <w:tcW w:w="3528" w:type="dxa"/>
            <w:shd w:val="clear" w:color="auto" w:fill="auto"/>
          </w:tcPr>
          <w:p w:rsidR="00E036F1" w:rsidRDefault="00E036F1" w:rsidP="00700259">
            <w:pPr>
              <w:pStyle w:val="Para5"/>
            </w:pPr>
            <w:r>
              <w:t>Dated:</w:t>
            </w:r>
          </w:p>
        </w:tc>
        <w:tc>
          <w:tcPr>
            <w:tcW w:w="5193" w:type="dxa"/>
            <w:shd w:val="clear" w:color="auto" w:fill="auto"/>
          </w:tcPr>
          <w:p w:rsidR="00E036F1" w:rsidRDefault="00E036F1" w:rsidP="00700259">
            <w:pPr>
              <w:pStyle w:val="Para2"/>
              <w:ind w:left="0"/>
            </w:pPr>
            <w:r>
              <w:t>21 February 2020</w:t>
            </w:r>
            <w:r w:rsidR="000809FC">
              <w:br/>
            </w:r>
          </w:p>
        </w:tc>
      </w:tr>
    </w:tbl>
    <w:p w:rsidR="00525A12" w:rsidRDefault="00525A12" w:rsidP="00525A12">
      <w:pPr>
        <w:pStyle w:val="Order2"/>
        <w:numPr>
          <w:ilvl w:val="0"/>
          <w:numId w:val="6"/>
        </w:numPr>
      </w:pPr>
      <w:r w:rsidRPr="00434DA9">
        <w:t>The decision of the Responsible Authority is set aside.</w:t>
      </w:r>
      <w:r w:rsidR="000809FC">
        <w:br/>
      </w:r>
    </w:p>
    <w:p w:rsidR="00525A12" w:rsidRPr="00434DA9" w:rsidRDefault="006A30ED" w:rsidP="00525A12">
      <w:pPr>
        <w:pStyle w:val="Order2"/>
        <w:numPr>
          <w:ilvl w:val="0"/>
          <w:numId w:val="6"/>
        </w:numPr>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25A12" w:rsidRPr="00434DA9">
        <w:t xml:space="preserve">In permit application </w:t>
      </w:r>
      <w:r w:rsidR="0031165B">
        <w:t>TPA</w:t>
      </w:r>
      <w:r w:rsidR="00035F9A">
        <w:t>/</w:t>
      </w:r>
      <w:r w:rsidR="000809FC">
        <w:t>50110</w:t>
      </w:r>
      <w:r w:rsidR="00525A12" w:rsidRPr="00434DA9">
        <w:t xml:space="preserve"> a permit is granted and directed to be issued for the land at </w:t>
      </w:r>
      <w:r w:rsidR="000809FC">
        <w:t>2 Parker Street</w:t>
      </w:r>
      <w:r w:rsidR="006731F6">
        <w:t>, Clayton</w:t>
      </w:r>
      <w:r w:rsidR="00525A12" w:rsidRPr="00434DA9">
        <w:t xml:space="preserve"> in accordance with the endorsed plans and on the conditions set out in Appendix A.  The permit allows:</w:t>
      </w:r>
    </w:p>
    <w:p w:rsidR="00525A12" w:rsidRPr="00434DA9" w:rsidRDefault="000809FC" w:rsidP="00525A12">
      <w:pPr>
        <w:pStyle w:val="Para5"/>
      </w:pPr>
      <w:r>
        <w:t>Use and development of a three storey residential building (student accommodation for 23 students)</w:t>
      </w:r>
      <w:r w:rsidR="006C6AB7">
        <w:t xml:space="preserve"> and a reduction in the car parking requirements</w:t>
      </w:r>
      <w:r w:rsidR="007045B2">
        <w:t>.</w:t>
      </w:r>
    </w:p>
    <w:p w:rsidR="00FC407F" w:rsidRDefault="00FC407F"/>
    <w:p w:rsidR="000809FC" w:rsidRDefault="000809FC"/>
    <w:p w:rsidR="00FC407F" w:rsidRDefault="00FC407F"/>
    <w:tbl>
      <w:tblPr>
        <w:tblW w:w="8928" w:type="dxa"/>
        <w:tblLayout w:type="fixed"/>
        <w:tblLook w:val="0000" w:firstRow="0" w:lastRow="0" w:firstColumn="0" w:lastColumn="0" w:noHBand="0" w:noVBand="0"/>
      </w:tblPr>
      <w:tblGrid>
        <w:gridCol w:w="2907"/>
        <w:gridCol w:w="2908"/>
        <w:gridCol w:w="3113"/>
      </w:tblGrid>
      <w:tr w:rsidR="00FC407F">
        <w:tc>
          <w:tcPr>
            <w:tcW w:w="2907" w:type="dxa"/>
          </w:tcPr>
          <w:p w:rsidR="00FC407F" w:rsidRDefault="00FC407F">
            <w:pPr>
              <w:tabs>
                <w:tab w:val="left" w:pos="1515"/>
              </w:tabs>
              <w:rPr>
                <w:b/>
              </w:rPr>
            </w:pPr>
          </w:p>
          <w:p w:rsidR="00FC407F" w:rsidRDefault="001B2259" w:rsidP="001B2259">
            <w:pPr>
              <w:tabs>
                <w:tab w:val="left" w:pos="1515"/>
              </w:tabs>
              <w:rPr>
                <w:b/>
              </w:rPr>
            </w:pPr>
            <w:r w:rsidRPr="001B2259">
              <w:t>Tracy Watson</w:t>
            </w:r>
            <w:r w:rsidRPr="001B2259">
              <w:br/>
            </w:r>
            <w:r w:rsidR="00FC407F">
              <w:rPr>
                <w:b/>
              </w:rPr>
              <w:t>Member</w:t>
            </w:r>
          </w:p>
        </w:tc>
        <w:tc>
          <w:tcPr>
            <w:tcW w:w="2908" w:type="dxa"/>
          </w:tcPr>
          <w:p w:rsidR="00FC407F" w:rsidRDefault="00FC407F"/>
        </w:tc>
        <w:tc>
          <w:tcPr>
            <w:tcW w:w="3113" w:type="dxa"/>
          </w:tcPr>
          <w:p w:rsidR="00FC407F" w:rsidRDefault="00FC407F">
            <w:pPr>
              <w:rPr>
                <w:b/>
              </w:rPr>
            </w:pPr>
          </w:p>
          <w:p w:rsidR="00FC407F" w:rsidRDefault="00FC407F">
            <w:pPr>
              <w:rPr>
                <w:b/>
              </w:rPr>
            </w:pPr>
          </w:p>
        </w:tc>
      </w:tr>
    </w:tbl>
    <w:p w:rsidR="00644661" w:rsidRDefault="00644661" w:rsidP="00912795">
      <w:pPr>
        <w:pStyle w:val="Heading1"/>
        <w:spacing w:after="360"/>
        <w:ind w:right="-493"/>
      </w:pPr>
    </w:p>
    <w:p w:rsidR="00FC407F" w:rsidRPr="00644661" w:rsidRDefault="00644661" w:rsidP="00644661">
      <w:pPr>
        <w:pStyle w:val="Para1"/>
        <w:numPr>
          <w:ilvl w:val="0"/>
          <w:numId w:val="0"/>
        </w:numPr>
        <w:spacing w:after="360"/>
        <w:ind w:left="567"/>
        <w:jc w:val="center"/>
        <w:rPr>
          <w:rFonts w:ascii="Arial" w:hAnsi="Arial" w:cs="Arial"/>
          <w:b/>
          <w:sz w:val="24"/>
          <w:szCs w:val="24"/>
        </w:rPr>
      </w:pPr>
      <w:r>
        <w:br w:type="page"/>
      </w:r>
      <w:r w:rsidR="006A30ED">
        <w:rPr>
          <w:rFonts w:ascii="Arial" w:hAnsi="Arial" w:cs="Arial"/>
          <w:b/>
          <w:noProof/>
          <w:sz w:val="24"/>
          <w:szCs w:val="24"/>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644661">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Tr="001B2259">
        <w:trPr>
          <w:cantSplit/>
        </w:trPr>
        <w:tc>
          <w:tcPr>
            <w:tcW w:w="3369" w:type="dxa"/>
          </w:tcPr>
          <w:p w:rsidR="00FC407F" w:rsidRDefault="00FC407F">
            <w:pPr>
              <w:pStyle w:val="TitlePagetext"/>
              <w:ind w:right="-131"/>
            </w:pPr>
            <w:r>
              <w:t>For Applicant</w:t>
            </w:r>
          </w:p>
        </w:tc>
        <w:tc>
          <w:tcPr>
            <w:tcW w:w="5739" w:type="dxa"/>
          </w:tcPr>
          <w:p w:rsidR="00FC407F" w:rsidRDefault="000809FC" w:rsidP="00912795">
            <w:pPr>
              <w:pStyle w:val="TitlePagetext"/>
            </w:pPr>
            <w:r>
              <w:t>Lorenzo Rigoni</w:t>
            </w:r>
            <w:r w:rsidR="006E4F25">
              <w:t>, town planner</w:t>
            </w:r>
            <w:r>
              <w:t>.  Mr Rigoni called expert evidence from: Brett Young, traffic engineer; and Evan Dimitropoulos, landscape architect.</w:t>
            </w:r>
          </w:p>
        </w:tc>
      </w:tr>
      <w:tr w:rsidR="00FC407F" w:rsidTr="001B2259">
        <w:trPr>
          <w:cantSplit/>
        </w:trPr>
        <w:tc>
          <w:tcPr>
            <w:tcW w:w="3369" w:type="dxa"/>
          </w:tcPr>
          <w:p w:rsidR="00FC407F" w:rsidRDefault="00FC407F">
            <w:pPr>
              <w:pStyle w:val="TitlePagetext"/>
              <w:ind w:right="-131"/>
            </w:pPr>
            <w:r>
              <w:t>For Responsible Authority</w:t>
            </w:r>
          </w:p>
        </w:tc>
        <w:tc>
          <w:tcPr>
            <w:tcW w:w="5739" w:type="dxa"/>
          </w:tcPr>
          <w:p w:rsidR="00FC407F" w:rsidRDefault="006731F6" w:rsidP="00802879">
            <w:pPr>
              <w:pStyle w:val="TitlePagetext"/>
            </w:pPr>
            <w:r>
              <w:t>James Turner</w:t>
            </w:r>
            <w:r w:rsidR="006E4F25">
              <w:t>, town planner</w:t>
            </w:r>
            <w:r w:rsidR="000809FC">
              <w:t>.</w:t>
            </w:r>
          </w:p>
        </w:tc>
      </w:tr>
      <w:tr w:rsidR="000809FC" w:rsidTr="001B2259">
        <w:trPr>
          <w:cantSplit/>
        </w:trPr>
        <w:tc>
          <w:tcPr>
            <w:tcW w:w="3369" w:type="dxa"/>
          </w:tcPr>
          <w:p w:rsidR="000809FC" w:rsidRDefault="000809FC">
            <w:pPr>
              <w:pStyle w:val="TitlePagetext"/>
              <w:ind w:right="-131"/>
            </w:pPr>
            <w:r>
              <w:t>For Respondent</w:t>
            </w:r>
          </w:p>
        </w:tc>
        <w:tc>
          <w:tcPr>
            <w:tcW w:w="5739" w:type="dxa"/>
          </w:tcPr>
          <w:p w:rsidR="000809FC" w:rsidRDefault="000809FC" w:rsidP="00802879">
            <w:pPr>
              <w:pStyle w:val="TitlePagetext"/>
            </w:pPr>
            <w:r>
              <w:t>Stephen Melis, in person.</w:t>
            </w:r>
          </w:p>
        </w:tc>
      </w:tr>
    </w:tbl>
    <w:p w:rsidR="00FC407F" w:rsidRDefault="00FC407F" w:rsidP="00DE19D3">
      <w:pPr>
        <w:pStyle w:val="Heading1"/>
        <w:spacing w:before="120"/>
        <w:ind w:right="-493"/>
      </w:pPr>
    </w:p>
    <w:p w:rsidR="00FC407F" w:rsidRDefault="00FC407F" w:rsidP="00912795">
      <w:pPr>
        <w:pStyle w:val="Heading1"/>
        <w:spacing w:after="360"/>
        <w:ind w:right="-493"/>
        <w:rPr>
          <w:highlight w:val="yellow"/>
        </w:rPr>
      </w:pPr>
      <w:r>
        <w:t>INFORMATION</w:t>
      </w:r>
    </w:p>
    <w:tbl>
      <w:tblPr>
        <w:tblW w:w="9108" w:type="dxa"/>
        <w:tblLayout w:type="fixed"/>
        <w:tblLook w:val="0000" w:firstRow="0" w:lastRow="0" w:firstColumn="0" w:lastColumn="0" w:noHBand="0" w:noVBand="0"/>
      </w:tblPr>
      <w:tblGrid>
        <w:gridCol w:w="3168"/>
        <w:gridCol w:w="5940"/>
      </w:tblGrid>
      <w:tr w:rsidR="00FC407F">
        <w:trPr>
          <w:cantSplit/>
        </w:trPr>
        <w:tc>
          <w:tcPr>
            <w:tcW w:w="3168" w:type="dxa"/>
          </w:tcPr>
          <w:p w:rsidR="00FC407F" w:rsidRDefault="00FC407F">
            <w:pPr>
              <w:pStyle w:val="TitlePagetext"/>
              <w:ind w:right="-131"/>
            </w:pPr>
            <w:r>
              <w:t>Description of Proposal</w:t>
            </w:r>
          </w:p>
        </w:tc>
        <w:tc>
          <w:tcPr>
            <w:tcW w:w="5940" w:type="dxa"/>
          </w:tcPr>
          <w:p w:rsidR="00FC407F" w:rsidRDefault="006E4F25" w:rsidP="00991477">
            <w:pPr>
              <w:pStyle w:val="TitlePagetext"/>
            </w:pPr>
            <w:r>
              <w:t xml:space="preserve">It is proposed to construct </w:t>
            </w:r>
            <w:r w:rsidR="007462B2">
              <w:t>a three storey high residential building</w:t>
            </w:r>
            <w:r w:rsidR="006731F6">
              <w:t xml:space="preserve"> </w:t>
            </w:r>
            <w:r w:rsidR="007462B2">
              <w:t>to accommodate 23 student</w:t>
            </w:r>
            <w:r w:rsidR="00EF2D12">
              <w:t>s</w:t>
            </w:r>
            <w:r w:rsidR="00FB7F37">
              <w:t>.</w:t>
            </w:r>
          </w:p>
        </w:tc>
      </w:tr>
      <w:tr w:rsidR="00FC407F">
        <w:trPr>
          <w:cantSplit/>
        </w:trPr>
        <w:tc>
          <w:tcPr>
            <w:tcW w:w="3168" w:type="dxa"/>
          </w:tcPr>
          <w:p w:rsidR="00FC407F" w:rsidRDefault="00FC407F">
            <w:pPr>
              <w:pStyle w:val="TitlePagetext"/>
              <w:ind w:right="-131"/>
            </w:pPr>
            <w:r>
              <w:t>Nature of Proceeding</w:t>
            </w:r>
          </w:p>
        </w:tc>
        <w:tc>
          <w:tcPr>
            <w:tcW w:w="5940" w:type="dxa"/>
          </w:tcPr>
          <w:p w:rsidR="00FC407F" w:rsidRDefault="00FC407F" w:rsidP="006E4F25">
            <w:pPr>
              <w:pStyle w:val="TitlePagetext"/>
              <w:rPr>
                <w:highlight w:val="yellow"/>
              </w:rPr>
            </w:pPr>
            <w:r>
              <w:t>Application under Section 7</w:t>
            </w:r>
            <w:r w:rsidR="007462B2">
              <w:t>9</w:t>
            </w:r>
            <w:r>
              <w:t xml:space="preserve"> of the </w:t>
            </w:r>
            <w:r>
              <w:rPr>
                <w:i/>
              </w:rPr>
              <w:t xml:space="preserve">Planning and Environment Act </w:t>
            </w:r>
            <w:r>
              <w:t>1987 –</w:t>
            </w:r>
            <w:r w:rsidR="0052297A">
              <w:t xml:space="preserve"> </w:t>
            </w:r>
            <w:r w:rsidR="00EF2D12" w:rsidRPr="002542BF">
              <w:t>to review the failure to grant a permit within the prescribed time</w:t>
            </w:r>
            <w:r w:rsidR="00EF2D12" w:rsidRPr="002542BF">
              <w:rPr>
                <w:rStyle w:val="FootnoteReference"/>
              </w:rPr>
              <w:footnoteReference w:id="1"/>
            </w:r>
            <w:r w:rsidR="00EF2D12" w:rsidRPr="002542BF">
              <w:t>.</w:t>
            </w:r>
            <w:r>
              <w:t xml:space="preserve"> </w:t>
            </w:r>
          </w:p>
        </w:tc>
      </w:tr>
      <w:tr w:rsidR="00FC407F">
        <w:trPr>
          <w:cantSplit/>
        </w:trPr>
        <w:tc>
          <w:tcPr>
            <w:tcW w:w="3168" w:type="dxa"/>
          </w:tcPr>
          <w:p w:rsidR="00FC407F" w:rsidRDefault="00FC407F">
            <w:pPr>
              <w:pStyle w:val="TitlePagetext"/>
              <w:ind w:right="-131"/>
            </w:pPr>
            <w:r>
              <w:t>Zone and Overlays</w:t>
            </w:r>
          </w:p>
        </w:tc>
        <w:tc>
          <w:tcPr>
            <w:tcW w:w="5940" w:type="dxa"/>
          </w:tcPr>
          <w:p w:rsidR="00FC407F" w:rsidRDefault="00E96D79" w:rsidP="00644661">
            <w:pPr>
              <w:pStyle w:val="TitlePagetext"/>
            </w:pPr>
            <w:r w:rsidRPr="00EA78D0">
              <w:t>Clause 32.0</w:t>
            </w:r>
            <w:r w:rsidR="00EF2D12">
              <w:t>8</w:t>
            </w:r>
            <w:r w:rsidRPr="00EA78D0">
              <w:t xml:space="preserve"> –</w:t>
            </w:r>
            <w:r w:rsidR="00704851">
              <w:t xml:space="preserve"> </w:t>
            </w:r>
            <w:r w:rsidR="00EF2D12">
              <w:t xml:space="preserve">General </w:t>
            </w:r>
            <w:r w:rsidRPr="00EA78D0">
              <w:t xml:space="preserve">Residential Zone, Schedule </w:t>
            </w:r>
            <w:r w:rsidR="00EF2D12">
              <w:t>6</w:t>
            </w:r>
            <w:r w:rsidR="001221AF">
              <w:t xml:space="preserve"> (</w:t>
            </w:r>
            <w:r w:rsidR="00EF2D12">
              <w:t>GRZ6</w:t>
            </w:r>
            <w:r w:rsidR="001221AF">
              <w:t>)</w:t>
            </w:r>
            <w:r w:rsidRPr="00EA78D0">
              <w:t>.</w:t>
            </w:r>
            <w:r w:rsidR="00704851">
              <w:br/>
            </w:r>
            <w:r w:rsidR="0071749E">
              <w:t>No overlays apply to the subject site</w:t>
            </w:r>
            <w:r>
              <w:t>.</w:t>
            </w:r>
            <w:r w:rsidR="00704851">
              <w:br/>
            </w:r>
          </w:p>
        </w:tc>
      </w:tr>
      <w:tr w:rsidR="00FC407F">
        <w:trPr>
          <w:cantSplit/>
        </w:trPr>
        <w:tc>
          <w:tcPr>
            <w:tcW w:w="3168" w:type="dxa"/>
          </w:tcPr>
          <w:p w:rsidR="00FC407F" w:rsidRDefault="00FC407F">
            <w:pPr>
              <w:pStyle w:val="TitlePagetext"/>
              <w:ind w:right="-131"/>
            </w:pPr>
            <w:r>
              <w:t>Permit Requirements</w:t>
            </w:r>
          </w:p>
        </w:tc>
        <w:tc>
          <w:tcPr>
            <w:tcW w:w="5940" w:type="dxa"/>
          </w:tcPr>
          <w:p w:rsidR="00FC407F" w:rsidRDefault="00E96D79" w:rsidP="00DB0F6C">
            <w:pPr>
              <w:autoSpaceDE w:val="0"/>
              <w:autoSpaceDN w:val="0"/>
              <w:adjustRightInd w:val="0"/>
            </w:pPr>
            <w:r>
              <w:rPr>
                <w:lang w:eastAsia="en-AU"/>
              </w:rPr>
              <w:t>Clause 32.0</w:t>
            </w:r>
            <w:r w:rsidR="00EF2D12">
              <w:rPr>
                <w:lang w:eastAsia="en-AU"/>
              </w:rPr>
              <w:t>8</w:t>
            </w:r>
            <w:r>
              <w:rPr>
                <w:lang w:eastAsia="en-AU"/>
              </w:rPr>
              <w:t>-</w:t>
            </w:r>
            <w:r w:rsidR="00EF2D12">
              <w:rPr>
                <w:lang w:eastAsia="en-AU"/>
              </w:rPr>
              <w:t>2</w:t>
            </w:r>
            <w:r w:rsidRPr="00EA78D0">
              <w:rPr>
                <w:lang w:eastAsia="en-AU"/>
              </w:rPr>
              <w:t xml:space="preserve"> – </w:t>
            </w:r>
            <w:r w:rsidR="00EF2D12">
              <w:rPr>
                <w:lang w:eastAsia="en-AU"/>
              </w:rPr>
              <w:t xml:space="preserve">Use the land for </w:t>
            </w:r>
            <w:r w:rsidR="00481867">
              <w:rPr>
                <w:lang w:eastAsia="en-AU"/>
              </w:rPr>
              <w:t>a residential building</w:t>
            </w:r>
            <w:r w:rsidRPr="00EA78D0">
              <w:rPr>
                <w:lang w:eastAsia="en-AU"/>
              </w:rPr>
              <w:t>.</w:t>
            </w:r>
            <w:r w:rsidR="00EF2D12">
              <w:rPr>
                <w:lang w:eastAsia="en-AU"/>
              </w:rPr>
              <w:br/>
              <w:t xml:space="preserve">Clause 32.08-6 – Construct </w:t>
            </w:r>
            <w:r w:rsidR="008A7DB0">
              <w:rPr>
                <w:lang w:eastAsia="en-AU"/>
              </w:rPr>
              <w:t>a residential building</w:t>
            </w:r>
            <w:r w:rsidR="00EF2D12">
              <w:rPr>
                <w:lang w:eastAsia="en-AU"/>
              </w:rPr>
              <w:t>.</w:t>
            </w:r>
            <w:r w:rsidR="005C579E">
              <w:rPr>
                <w:lang w:eastAsia="en-AU"/>
              </w:rPr>
              <w:br/>
              <w:t>Clause 52.06-</w:t>
            </w:r>
            <w:r w:rsidR="00481867">
              <w:rPr>
                <w:lang w:eastAsia="en-AU"/>
              </w:rPr>
              <w:t>6</w:t>
            </w:r>
            <w:r w:rsidR="00846406">
              <w:rPr>
                <w:lang w:eastAsia="en-AU"/>
              </w:rPr>
              <w:t xml:space="preserve"> – </w:t>
            </w:r>
            <w:r w:rsidR="00481867">
              <w:rPr>
                <w:lang w:eastAsia="en-AU"/>
              </w:rPr>
              <w:t>Provide a satisfactory number of car parking spaces</w:t>
            </w:r>
            <w:r w:rsidR="00846406">
              <w:rPr>
                <w:lang w:eastAsia="en-AU"/>
              </w:rPr>
              <w:t>.</w:t>
            </w:r>
            <w:r w:rsidR="00AF1128">
              <w:rPr>
                <w:lang w:eastAsia="en-AU"/>
              </w:rPr>
              <w:br/>
            </w:r>
          </w:p>
        </w:tc>
      </w:tr>
      <w:tr w:rsidR="00FC407F">
        <w:trPr>
          <w:cantSplit/>
        </w:trPr>
        <w:tc>
          <w:tcPr>
            <w:tcW w:w="3168" w:type="dxa"/>
          </w:tcPr>
          <w:p w:rsidR="00FC407F" w:rsidRDefault="00FC407F">
            <w:pPr>
              <w:pStyle w:val="TitlePagetext"/>
              <w:ind w:right="-131"/>
            </w:pPr>
            <w:r>
              <w:t>Relevant Scheme, policies and provisions</w:t>
            </w:r>
          </w:p>
        </w:tc>
        <w:tc>
          <w:tcPr>
            <w:tcW w:w="5940" w:type="dxa"/>
          </w:tcPr>
          <w:p w:rsidR="00FC407F" w:rsidRDefault="00E96D79" w:rsidP="00644661">
            <w:pPr>
              <w:pStyle w:val="TitlePagetext"/>
            </w:pPr>
            <w:r>
              <w:t>Includes Clauses 11, 15, 16, 21.0</w:t>
            </w:r>
            <w:r w:rsidR="0071749E">
              <w:t>4</w:t>
            </w:r>
            <w:r>
              <w:t xml:space="preserve">, </w:t>
            </w:r>
            <w:r w:rsidR="0071749E">
              <w:t xml:space="preserve">22.01, 22.05, </w:t>
            </w:r>
            <w:r w:rsidR="00481867">
              <w:t xml:space="preserve">22.10, </w:t>
            </w:r>
            <w:r>
              <w:t>32.0</w:t>
            </w:r>
            <w:r w:rsidR="00481867">
              <w:t>8</w:t>
            </w:r>
            <w:r>
              <w:t>, 52.06, 55</w:t>
            </w:r>
            <w:r w:rsidR="00F36A7C">
              <w:t xml:space="preserve">, </w:t>
            </w:r>
            <w:r>
              <w:t>65</w:t>
            </w:r>
            <w:r w:rsidR="00F36A7C">
              <w:t xml:space="preserve"> and 71.02</w:t>
            </w:r>
            <w:r>
              <w:t>.</w:t>
            </w:r>
          </w:p>
        </w:tc>
      </w:tr>
      <w:tr w:rsidR="00FC407F">
        <w:trPr>
          <w:cantSplit/>
        </w:trPr>
        <w:tc>
          <w:tcPr>
            <w:tcW w:w="3168" w:type="dxa"/>
          </w:tcPr>
          <w:p w:rsidR="00FC407F" w:rsidRDefault="00FC407F">
            <w:pPr>
              <w:pStyle w:val="TitlePagetext"/>
              <w:ind w:right="-131"/>
            </w:pPr>
            <w:r>
              <w:t>Land Description</w:t>
            </w:r>
          </w:p>
        </w:tc>
        <w:tc>
          <w:tcPr>
            <w:tcW w:w="5940" w:type="dxa"/>
          </w:tcPr>
          <w:p w:rsidR="00FC407F" w:rsidRDefault="00E96D79" w:rsidP="002A13AE">
            <w:pPr>
              <w:pStyle w:val="TitlePagetext"/>
            </w:pPr>
            <w:r>
              <w:t>The subje</w:t>
            </w:r>
            <w:r w:rsidR="00912795">
              <w:t xml:space="preserve">ct site is located on the </w:t>
            </w:r>
            <w:r w:rsidR="00481867">
              <w:t>eastern</w:t>
            </w:r>
            <w:r w:rsidR="00DC59D4">
              <w:t xml:space="preserve"> side of </w:t>
            </w:r>
            <w:r w:rsidR="00014982">
              <w:t>Parker Street</w:t>
            </w:r>
            <w:r w:rsidR="00111A07">
              <w:t xml:space="preserve"> in </w:t>
            </w:r>
            <w:r w:rsidR="00DC59D4">
              <w:t>Clayton</w:t>
            </w:r>
            <w:r>
              <w:t xml:space="preserve">.  The subject site </w:t>
            </w:r>
            <w:r w:rsidR="002A13AE">
              <w:t xml:space="preserve">has a </w:t>
            </w:r>
            <w:r w:rsidR="00014982">
              <w:t>rectangular</w:t>
            </w:r>
            <w:r w:rsidR="00DC59D4">
              <w:t xml:space="preserve"> </w:t>
            </w:r>
            <w:r w:rsidR="00FB7F37">
              <w:t xml:space="preserve">shape with a frontage of </w:t>
            </w:r>
            <w:r w:rsidR="00014982">
              <w:t>16</w:t>
            </w:r>
            <w:r w:rsidR="00DC59D4">
              <w:t>.</w:t>
            </w:r>
            <w:r w:rsidR="00014982">
              <w:t>38</w:t>
            </w:r>
            <w:r>
              <w:t xml:space="preserve"> metres</w:t>
            </w:r>
            <w:r w:rsidR="00111A07">
              <w:t xml:space="preserve">, </w:t>
            </w:r>
            <w:r>
              <w:t xml:space="preserve">a </w:t>
            </w:r>
            <w:r w:rsidR="002A13AE">
              <w:t xml:space="preserve">depth </w:t>
            </w:r>
            <w:r>
              <w:t xml:space="preserve">of </w:t>
            </w:r>
            <w:r w:rsidR="00014982">
              <w:t>39</w:t>
            </w:r>
            <w:r w:rsidR="00DC59D4">
              <w:t>.</w:t>
            </w:r>
            <w:r w:rsidR="00014982">
              <w:t>75</w:t>
            </w:r>
            <w:r>
              <w:t xml:space="preserve"> met</w:t>
            </w:r>
            <w:r w:rsidR="00FB7F37">
              <w:t>res</w:t>
            </w:r>
            <w:r w:rsidR="00111A07">
              <w:t xml:space="preserve"> and</w:t>
            </w:r>
            <w:r w:rsidR="00FB7F37">
              <w:t xml:space="preserve"> a site area of </w:t>
            </w:r>
            <w:r w:rsidR="00014982">
              <w:t>651</w:t>
            </w:r>
            <w:r>
              <w:t>m</w:t>
            </w:r>
            <w:r w:rsidRPr="00E96D79">
              <w:rPr>
                <w:vertAlign w:val="superscript"/>
              </w:rPr>
              <w:t>2</w:t>
            </w:r>
            <w:r>
              <w:t>.</w:t>
            </w:r>
            <w:r w:rsidR="00111A07">
              <w:t xml:space="preserve">  The subject site is abutted by other residentially developed properties.</w:t>
            </w:r>
            <w:r w:rsidR="00FB7F37">
              <w:br/>
            </w:r>
          </w:p>
        </w:tc>
      </w:tr>
    </w:tbl>
    <w:p w:rsidR="00FC407F" w:rsidRDefault="00FC407F">
      <w:pPr>
        <w:pStyle w:val="Heading1"/>
        <w:spacing w:before="120"/>
      </w:pPr>
      <w:r>
        <w:br w:type="page"/>
      </w:r>
      <w:r w:rsidR="006A30ED">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rsidR="00FC407F" w:rsidRPr="001B2259" w:rsidRDefault="00FC407F">
      <w:pPr>
        <w:pStyle w:val="Heading2"/>
        <w:rPr>
          <w:caps w:val="0"/>
        </w:rPr>
      </w:pPr>
      <w:r w:rsidRPr="001B2259">
        <w:rPr>
          <w:caps w:val="0"/>
        </w:rPr>
        <w:t>What is this proceeding about?</w:t>
      </w:r>
    </w:p>
    <w:p w:rsidR="000D54F9" w:rsidRPr="002542BF" w:rsidRDefault="000D54F9" w:rsidP="000D54F9">
      <w:pPr>
        <w:pStyle w:val="Para1"/>
      </w:pPr>
      <w:r w:rsidRPr="002542BF">
        <w:t xml:space="preserve">The permit applicant lodged an application for review with the Tribunal in </w:t>
      </w:r>
      <w:r w:rsidR="006E5E88">
        <w:t>October 2019</w:t>
      </w:r>
      <w:r w:rsidRPr="002542BF">
        <w:t xml:space="preserve"> against the </w:t>
      </w:r>
      <w:r w:rsidR="006E5E88">
        <w:t>Monash</w:t>
      </w:r>
      <w:r w:rsidRPr="002542BF">
        <w:t xml:space="preserve"> City Council’s failure to determine the permit application within the prescribed statutory timeframe.  Subsequently, in </w:t>
      </w:r>
      <w:r w:rsidR="005E6BF5">
        <w:t>March 2020</w:t>
      </w:r>
      <w:r w:rsidRPr="002542BF">
        <w:t>, the Council decided that it does not support the proposal</w:t>
      </w:r>
      <w:r w:rsidR="005E6BF5">
        <w:t xml:space="preserve">.  The Council’s grounds of </w:t>
      </w:r>
      <w:r w:rsidR="006607DE">
        <w:t xml:space="preserve">refusal </w:t>
      </w:r>
      <w:r w:rsidR="005E6BF5">
        <w:t xml:space="preserve">argued at the hearing relate to the proposal’s </w:t>
      </w:r>
      <w:r w:rsidR="006E5E88">
        <w:t>neighbourhood character</w:t>
      </w:r>
      <w:r w:rsidR="005E6BF5">
        <w:t xml:space="preserve"> impact </w:t>
      </w:r>
      <w:r w:rsidR="006E5E88">
        <w:t xml:space="preserve">and </w:t>
      </w:r>
      <w:r w:rsidR="005E6BF5">
        <w:t xml:space="preserve">its </w:t>
      </w:r>
      <w:r w:rsidR="006E5E88">
        <w:t>car parking arrangements</w:t>
      </w:r>
      <w:r w:rsidRPr="002542BF">
        <w:t>.</w:t>
      </w:r>
    </w:p>
    <w:p w:rsidR="000D54F9" w:rsidRDefault="006E5E88" w:rsidP="00700259">
      <w:pPr>
        <w:pStyle w:val="Para1"/>
      </w:pPr>
      <w:r>
        <w:t>Mr Melis, who is the owner of the property at no. 2/ 4 Parker Street, advised the Tribunal in April 2020 that the amended plans (which have now been formally substituted by the Tribunal) satisfy his concerns.</w:t>
      </w:r>
    </w:p>
    <w:p w:rsidR="00DC59D4" w:rsidRDefault="00DC59D4" w:rsidP="00700259">
      <w:pPr>
        <w:pStyle w:val="Para1"/>
      </w:pPr>
      <w:r w:rsidRPr="001217EA">
        <w:t>Based on the hearing process and all the relevant associated documentation, I consider that the ke</w:t>
      </w:r>
      <w:r>
        <w:t>y issue</w:t>
      </w:r>
      <w:r w:rsidR="00857B34">
        <w:t>s</w:t>
      </w:r>
      <w:r w:rsidRPr="001217EA">
        <w:t xml:space="preserve"> relate to </w:t>
      </w:r>
      <w:r>
        <w:t>whether the proposal is respectful of</w:t>
      </w:r>
      <w:r w:rsidRPr="001217EA">
        <w:t xml:space="preserve"> the neighbourhood character of the area</w:t>
      </w:r>
      <w:r w:rsidR="00857B34">
        <w:t xml:space="preserve"> and whether the proposal’s parking impacts are acceptable</w:t>
      </w:r>
      <w:r w:rsidRPr="001217EA">
        <w:t xml:space="preserve">.  </w:t>
      </w:r>
    </w:p>
    <w:p w:rsidR="00E96D79" w:rsidRPr="00434DA9" w:rsidRDefault="00912795" w:rsidP="00E96D79">
      <w:pPr>
        <w:pStyle w:val="Para1"/>
      </w:pPr>
      <w:r>
        <w:t>I</w:t>
      </w:r>
      <w:r w:rsidR="00E96D79" w:rsidRPr="00434DA9">
        <w:t xml:space="preserve"> must decide whether a permit should be granted and, if so, what conditions should be applied.  Having considered all submissions</w:t>
      </w:r>
      <w:r w:rsidR="00857B34">
        <w:t xml:space="preserve"> and the expert traffic and landscaping evidence</w:t>
      </w:r>
      <w:r w:rsidR="00E96D79" w:rsidRPr="00434DA9">
        <w:t xml:space="preserve">, together with the applicable policies and provisions of the </w:t>
      </w:r>
      <w:r w:rsidR="00DC59D4">
        <w:t>Monash</w:t>
      </w:r>
      <w:r w:rsidR="00E96D79" w:rsidRPr="00434DA9">
        <w:t xml:space="preserve"> Planning Scheme, I have decided to set aside the decision of the Responsible Authority.  My reasons follow.</w:t>
      </w:r>
    </w:p>
    <w:p w:rsidR="00E96D79" w:rsidRPr="00434DA9" w:rsidRDefault="00E96D79" w:rsidP="00E96D79">
      <w:pPr>
        <w:pStyle w:val="Heading2"/>
        <w:rPr>
          <w:caps w:val="0"/>
        </w:rPr>
      </w:pPr>
      <w:r>
        <w:rPr>
          <w:caps w:val="0"/>
        </w:rPr>
        <w:t xml:space="preserve">Is the </w:t>
      </w:r>
      <w:r w:rsidR="00DC59D4">
        <w:rPr>
          <w:caps w:val="0"/>
        </w:rPr>
        <w:t>proposal respectful of the neighbourhood character of the area</w:t>
      </w:r>
      <w:r w:rsidRPr="00434DA9">
        <w:rPr>
          <w:caps w:val="0"/>
        </w:rPr>
        <w:t>?</w:t>
      </w:r>
    </w:p>
    <w:p w:rsidR="00DC59D4" w:rsidRDefault="00DC59D4" w:rsidP="00211344">
      <w:pPr>
        <w:pStyle w:val="Para1"/>
      </w:pPr>
      <w:r>
        <w:t xml:space="preserve">The Council submitted that the </w:t>
      </w:r>
      <w:r w:rsidR="005E6BF5">
        <w:t xml:space="preserve">proposed building is too visually dominant and ‘block like’ due to the provision of insufficient building breaks and </w:t>
      </w:r>
      <w:r w:rsidR="00273AD2">
        <w:t>the absence of an open garden setting</w:t>
      </w:r>
      <w:r>
        <w:t>.</w:t>
      </w:r>
      <w:r w:rsidR="009E53B5">
        <w:t xml:space="preserve">  Specifically, the Council submitted that the </w:t>
      </w:r>
      <w:r w:rsidR="00273AD2">
        <w:t>proposed side setbacks allow for</w:t>
      </w:r>
      <w:r w:rsidR="009E53B5">
        <w:t xml:space="preserve"> insufficient landscaping and </w:t>
      </w:r>
      <w:r w:rsidR="006607DE">
        <w:t xml:space="preserve">will result in </w:t>
      </w:r>
      <w:r w:rsidR="00273AD2">
        <w:t>excessive pruning of the neighbouring Tree nos. 1 and 2</w:t>
      </w:r>
      <w:r w:rsidR="009E53B5">
        <w:t>.</w:t>
      </w:r>
    </w:p>
    <w:p w:rsidR="009E53B5" w:rsidRDefault="009E53B5" w:rsidP="00211344">
      <w:pPr>
        <w:pStyle w:val="Para1"/>
      </w:pPr>
      <w:r>
        <w:t xml:space="preserve">It is important to highlight that the subject site </w:t>
      </w:r>
      <w:r w:rsidR="00207399">
        <w:t>is clearly suitable</w:t>
      </w:r>
      <w:r>
        <w:t xml:space="preserve"> for </w:t>
      </w:r>
      <w:r w:rsidR="00D57E34">
        <w:t>built form intensification and the provision of student housing</w:t>
      </w:r>
      <w:r>
        <w:t xml:space="preserve"> as demonstrated by its:</w:t>
      </w:r>
    </w:p>
    <w:p w:rsidR="009E53B5" w:rsidRDefault="00026249" w:rsidP="006A5679">
      <w:pPr>
        <w:pStyle w:val="Para1"/>
        <w:numPr>
          <w:ilvl w:val="0"/>
          <w:numId w:val="19"/>
        </w:numPr>
      </w:pPr>
      <w:r>
        <w:t>Location in the GRZ6 which has an objective to facilitate housing diversity, including apartment</w:t>
      </w:r>
      <w:r w:rsidR="00207399">
        <w:t xml:space="preserve"> buildings</w:t>
      </w:r>
      <w:r w:rsidR="009E53B5">
        <w:t>.</w:t>
      </w:r>
      <w:r w:rsidR="00207399">
        <w:t xml:space="preserve">  The GRZ6 also applies to land to the south and east of the subject site.</w:t>
      </w:r>
      <w:r w:rsidR="00305682">
        <w:t xml:space="preserve"> </w:t>
      </w:r>
    </w:p>
    <w:p w:rsidR="00207399" w:rsidRDefault="00207399" w:rsidP="006A5679">
      <w:pPr>
        <w:pStyle w:val="Para1"/>
        <w:numPr>
          <w:ilvl w:val="0"/>
          <w:numId w:val="19"/>
        </w:numPr>
      </w:pPr>
      <w:r>
        <w:t xml:space="preserve">Interface with the Residential Growth Zone immediately to the north and </w:t>
      </w:r>
      <w:r w:rsidR="00305682">
        <w:t xml:space="preserve">opposite </w:t>
      </w:r>
      <w:r>
        <w:t>along the western side of Parker Street</w:t>
      </w:r>
      <w:r w:rsidR="000E2A1E">
        <w:t xml:space="preserve"> where buildings up to 4 storeys high are anticipated</w:t>
      </w:r>
      <w:r>
        <w:t>.</w:t>
      </w:r>
    </w:p>
    <w:p w:rsidR="00305682" w:rsidRDefault="006A30ED" w:rsidP="006A5679">
      <w:pPr>
        <w:pStyle w:val="Para1"/>
        <w:numPr>
          <w:ilvl w:val="0"/>
          <w:numId w:val="19"/>
        </w:numPr>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E767A">
        <w:t>D</w:t>
      </w:r>
      <w:r w:rsidR="00305682">
        <w:t>istance</w:t>
      </w:r>
      <w:r w:rsidR="00C71C95">
        <w:t xml:space="preserve"> from</w:t>
      </w:r>
      <w:r w:rsidR="00305682">
        <w:t xml:space="preserve"> land identified for a lower-order level of built form change.</w:t>
      </w:r>
    </w:p>
    <w:p w:rsidR="009E53B5" w:rsidRDefault="009E53B5" w:rsidP="006A5679">
      <w:pPr>
        <w:pStyle w:val="Para1"/>
        <w:numPr>
          <w:ilvl w:val="0"/>
          <w:numId w:val="19"/>
        </w:numPr>
      </w:pPr>
      <w:r>
        <w:t xml:space="preserve">Location within the </w:t>
      </w:r>
      <w:r w:rsidR="00207399">
        <w:t>‘</w:t>
      </w:r>
      <w:r>
        <w:t>Monash National Employment Cluster</w:t>
      </w:r>
      <w:r w:rsidR="006A5679">
        <w:t xml:space="preserve"> </w:t>
      </w:r>
      <w:r w:rsidR="00207399">
        <w:t xml:space="preserve">and Clayton Activity Centre – Housing Diversity Area’ </w:t>
      </w:r>
      <w:r w:rsidR="006A5679">
        <w:t xml:space="preserve">where local policy (such as </w:t>
      </w:r>
      <w:r w:rsidR="00234098">
        <w:t xml:space="preserve">at </w:t>
      </w:r>
      <w:r w:rsidR="006A5679">
        <w:t>Clause</w:t>
      </w:r>
      <w:r w:rsidR="00207399">
        <w:t>s</w:t>
      </w:r>
      <w:r w:rsidR="006A5679">
        <w:t xml:space="preserve"> 21.04</w:t>
      </w:r>
      <w:r w:rsidR="00207399">
        <w:t xml:space="preserve"> and 22.01</w:t>
      </w:r>
      <w:r w:rsidR="006A5679">
        <w:t xml:space="preserve">) seeks </w:t>
      </w:r>
      <w:r w:rsidR="00207399">
        <w:t>housing diversity, including to meet the accommodation needs of students in apartment</w:t>
      </w:r>
      <w:r w:rsidR="006607DE">
        <w:t>-type building</w:t>
      </w:r>
      <w:r w:rsidR="006A5679">
        <w:t>.</w:t>
      </w:r>
    </w:p>
    <w:p w:rsidR="000E2A1E" w:rsidRDefault="000E2A1E" w:rsidP="006A5679">
      <w:pPr>
        <w:pStyle w:val="Para1"/>
        <w:numPr>
          <w:ilvl w:val="0"/>
          <w:numId w:val="19"/>
        </w:numPr>
      </w:pPr>
      <w:r>
        <w:t xml:space="preserve">Nomination as a preferred location for student accommodation under Clause 22.10 of the planning scheme (the subject site is only 150 metres from the Clayton Campus of Monash University). </w:t>
      </w:r>
    </w:p>
    <w:p w:rsidR="00C77173" w:rsidRDefault="00C77173" w:rsidP="006A5679">
      <w:pPr>
        <w:pStyle w:val="Para1"/>
        <w:numPr>
          <w:ilvl w:val="0"/>
          <w:numId w:val="19"/>
        </w:numPr>
      </w:pPr>
      <w:r>
        <w:t>Visual relationship with the Mannix College complex located along the western side of Parker Street which includes a range of robust buildings.</w:t>
      </w:r>
    </w:p>
    <w:p w:rsidR="005C477C" w:rsidRDefault="00DE767A" w:rsidP="00211344">
      <w:pPr>
        <w:pStyle w:val="Para1"/>
      </w:pPr>
      <w:r>
        <w:t>It is w</w:t>
      </w:r>
      <w:r w:rsidR="005C477C">
        <w:t>ithin this context of housing growth, th</w:t>
      </w:r>
      <w:r>
        <w:t xml:space="preserve">at the broadly-applied </w:t>
      </w:r>
      <w:r w:rsidR="005C477C">
        <w:t xml:space="preserve">Clause 22.01 </w:t>
      </w:r>
      <w:r>
        <w:t>policy provisions need to be considered.</w:t>
      </w:r>
      <w:r w:rsidR="005C477C">
        <w:t xml:space="preserve"> </w:t>
      </w:r>
      <w:r>
        <w:t xml:space="preserve"> In other words, whilst the proposal still needs to be contextually responsive to the existing conditions </w:t>
      </w:r>
      <w:r w:rsidR="00C77173">
        <w:t xml:space="preserve">of the abutting properties, </w:t>
      </w:r>
      <w:r>
        <w:t xml:space="preserve">and the </w:t>
      </w:r>
      <w:r w:rsidR="005C477C">
        <w:t>valued garden city character</w:t>
      </w:r>
      <w:r w:rsidR="00C77173">
        <w:t xml:space="preserve"> more generally</w:t>
      </w:r>
      <w:r>
        <w:t>,</w:t>
      </w:r>
      <w:r w:rsidR="005C477C">
        <w:t xml:space="preserve"> </w:t>
      </w:r>
      <w:r>
        <w:t>this is tempered by the desire for affordable student housing in more robust buildings in this location.</w:t>
      </w:r>
    </w:p>
    <w:p w:rsidR="00C77173" w:rsidRDefault="00677787" w:rsidP="00211344">
      <w:pPr>
        <w:pStyle w:val="Para1"/>
      </w:pPr>
      <w:r>
        <w:t>The</w:t>
      </w:r>
      <w:r w:rsidR="00C77173">
        <w:t xml:space="preserve"> range of</w:t>
      </w:r>
      <w:r>
        <w:t xml:space="preserve"> broader policy statements are given more specificity in Schedule </w:t>
      </w:r>
      <w:r w:rsidR="00C77173">
        <w:t>6</w:t>
      </w:r>
      <w:r>
        <w:t xml:space="preserve"> to the </w:t>
      </w:r>
      <w:r w:rsidR="00C77173">
        <w:t>GRZ</w:t>
      </w:r>
      <w:r>
        <w:t xml:space="preserve"> through local variations to Standards B6 (street setback), B13 (landscaping)</w:t>
      </w:r>
      <w:r w:rsidR="00A253DA">
        <w:t>, B17 (side and rear setbacks)</w:t>
      </w:r>
      <w:r w:rsidR="00C77173">
        <w:t xml:space="preserve">, </w:t>
      </w:r>
      <w:r>
        <w:t>B28 (private open space)</w:t>
      </w:r>
      <w:r w:rsidR="00C77173">
        <w:t xml:space="preserve"> and B32 (front fence height)</w:t>
      </w:r>
      <w:r>
        <w:t>.</w:t>
      </w:r>
      <w:r w:rsidR="00C77173">
        <w:t xml:space="preserve">  The proposal meets or exceeds all of these Clause 55 local variations.</w:t>
      </w:r>
    </w:p>
    <w:p w:rsidR="00C77173" w:rsidRDefault="00C77173" w:rsidP="00211344">
      <w:pPr>
        <w:pStyle w:val="Para1"/>
      </w:pPr>
      <w:r>
        <w:t>The proposal includes the following features which ensure that the building is not unacceptably bulky:</w:t>
      </w:r>
    </w:p>
    <w:p w:rsidR="00C77173" w:rsidRDefault="00C77173" w:rsidP="004E3A01">
      <w:pPr>
        <w:pStyle w:val="Para1"/>
        <w:numPr>
          <w:ilvl w:val="0"/>
          <w:numId w:val="20"/>
        </w:numPr>
      </w:pPr>
      <w:r>
        <w:t>Ground level setback</w:t>
      </w:r>
      <w:r w:rsidR="006607DE">
        <w:t>s</w:t>
      </w:r>
      <w:r>
        <w:t xml:space="preserve"> of 6-7 metres (which exceed the 5.15 metres average setback of the abutting properties, and the 4 metres setback permissible by the </w:t>
      </w:r>
      <w:r w:rsidR="00587EBD">
        <w:t xml:space="preserve">Standard B6 </w:t>
      </w:r>
      <w:r>
        <w:t>local variation)</w:t>
      </w:r>
      <w:r w:rsidR="00587EBD">
        <w:t>.</w:t>
      </w:r>
    </w:p>
    <w:p w:rsidR="00587EBD" w:rsidRDefault="006607DE" w:rsidP="004E3A01">
      <w:pPr>
        <w:pStyle w:val="Para1"/>
        <w:numPr>
          <w:ilvl w:val="0"/>
          <w:numId w:val="20"/>
        </w:numPr>
      </w:pPr>
      <w:r>
        <w:t>A v</w:t>
      </w:r>
      <w:r w:rsidR="00587EBD">
        <w:t>isually recessive double garage</w:t>
      </w:r>
      <w:r w:rsidR="000E2A1E">
        <w:t xml:space="preserve"> (accessed from a 7 metres long driveway)</w:t>
      </w:r>
      <w:r w:rsidR="00587EBD">
        <w:t>.</w:t>
      </w:r>
    </w:p>
    <w:p w:rsidR="00587EBD" w:rsidRDefault="006607DE" w:rsidP="004E3A01">
      <w:pPr>
        <w:pStyle w:val="Para1"/>
        <w:numPr>
          <w:ilvl w:val="0"/>
          <w:numId w:val="20"/>
        </w:numPr>
      </w:pPr>
      <w:r>
        <w:t>The a</w:t>
      </w:r>
      <w:r w:rsidR="00587EBD">
        <w:t>bsence of boundary walls.</w:t>
      </w:r>
    </w:p>
    <w:p w:rsidR="00587EBD" w:rsidRDefault="006607DE" w:rsidP="004E3A01">
      <w:pPr>
        <w:pStyle w:val="Para1"/>
        <w:numPr>
          <w:ilvl w:val="0"/>
          <w:numId w:val="20"/>
        </w:numPr>
      </w:pPr>
      <w:r>
        <w:t>A v</w:t>
      </w:r>
      <w:r w:rsidR="00587EBD">
        <w:t>isually recessive upper level (third storey) which has minimum setbacks of 9.355 metres from the front boundary, 3.0 metres from the northern side boundary, 4.025 metres from the southern side boundary (including a raked ceiling at this level as well as at the second storey level) and 7.596 metres from the rear boundary.</w:t>
      </w:r>
    </w:p>
    <w:p w:rsidR="00587EBD" w:rsidRDefault="006607DE" w:rsidP="004E3A01">
      <w:pPr>
        <w:pStyle w:val="Para1"/>
        <w:numPr>
          <w:ilvl w:val="0"/>
          <w:numId w:val="20"/>
        </w:numPr>
      </w:pPr>
      <w:r>
        <w:t>A m</w:t>
      </w:r>
      <w:r w:rsidR="00587EBD">
        <w:t xml:space="preserve">aximum height of 9.78 metres (with the maximum permissible height being </w:t>
      </w:r>
      <w:r w:rsidR="006E65C5">
        <w:t>11.5 metres)</w:t>
      </w:r>
      <w:r w:rsidR="004E3A01">
        <w:t>.</w:t>
      </w:r>
    </w:p>
    <w:p w:rsidR="00D844E4" w:rsidRDefault="00D844E4" w:rsidP="004E3A01">
      <w:pPr>
        <w:pStyle w:val="Para1"/>
        <w:numPr>
          <w:ilvl w:val="0"/>
          <w:numId w:val="20"/>
        </w:numPr>
      </w:pPr>
      <w:r>
        <w:t>A range of materials.</w:t>
      </w:r>
    </w:p>
    <w:p w:rsidR="00D844E4" w:rsidRDefault="00D844E4" w:rsidP="00211344">
      <w:pPr>
        <w:pStyle w:val="Para1"/>
      </w:pPr>
      <w:r>
        <w:t xml:space="preserve">I therefore consider that the proposed building does not require any further visual breaks or additional setbacks, nor does it require changes to its roof profile or materiality.   </w:t>
      </w:r>
    </w:p>
    <w:p w:rsidR="000714E1" w:rsidRDefault="006A30ED" w:rsidP="00D844E4">
      <w:pPr>
        <w:pStyle w:val="Para1"/>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7CEC">
        <w:t xml:space="preserve">The proposal provides landscaping along all edges of the subject site, and includes five trees in the front garden area and four trees in the rear garden area.  Mr Dimitropoulos’ evidence demonstrates that the proposed species selection is appropriate for the spaces </w:t>
      </w:r>
      <w:r w:rsidR="006607DE">
        <w:t>they are planted in</w:t>
      </w:r>
      <w:r w:rsidR="00D67CEC">
        <w:t xml:space="preserve">. </w:t>
      </w:r>
    </w:p>
    <w:p w:rsidR="009151FC" w:rsidRDefault="009151FC" w:rsidP="00D844E4">
      <w:pPr>
        <w:pStyle w:val="Para1"/>
      </w:pPr>
      <w:r>
        <w:t>The local variation to Standard B13 requires at least one canopy tree, plus one canopy tree per 5 metres of site width.  The subject site has a width of 16 metres, generating a requirement of four canopy trees.  The proposal is for the planting of nine canopy trees which have mature heights ranging from 7 to 10 metres.</w:t>
      </w:r>
    </w:p>
    <w:p w:rsidR="00D67CEC" w:rsidRDefault="009151FC" w:rsidP="00D844E4">
      <w:pPr>
        <w:pStyle w:val="Para1"/>
      </w:pPr>
      <w:r>
        <w:t>The extent of proposed landscaping along the north and south sides of the subject site is consistent with the local variation to Standard B13 which simply seeks a mixture of vegetation, including indigenous species, in the side setback areas.</w:t>
      </w:r>
    </w:p>
    <w:p w:rsidR="00D67CEC" w:rsidRDefault="00D67CEC" w:rsidP="00D844E4">
      <w:pPr>
        <w:pStyle w:val="Para1"/>
      </w:pPr>
      <w:r>
        <w:t>In this case I do not think that canopy tree planting is necessary along the side boundaries, as the proposed landscape plan achieves the desired open garden setting.</w:t>
      </w:r>
    </w:p>
    <w:p w:rsidR="00987E85" w:rsidRDefault="00987E85" w:rsidP="00D844E4">
      <w:pPr>
        <w:pStyle w:val="Para1"/>
      </w:pPr>
      <w:r>
        <w:t>Furthermore, the proposal does not encroach on the Tree Protection Zones of Tree nos. 1 and 2 on the neighbouring property.  I am satisfied that the proposal will not impact on the long term viability of these trees.</w:t>
      </w:r>
    </w:p>
    <w:p w:rsidR="005C579E" w:rsidRPr="006C52D2" w:rsidRDefault="001C7E4F" w:rsidP="00D844E4">
      <w:pPr>
        <w:pStyle w:val="Para1"/>
      </w:pPr>
      <w:r>
        <w:t xml:space="preserve">I consider that the proposed design response </w:t>
      </w:r>
      <w:r w:rsidR="00A253DA">
        <w:t xml:space="preserve">strikes </w:t>
      </w:r>
      <w:r w:rsidR="00D844E4">
        <w:t>an appropriate</w:t>
      </w:r>
      <w:r w:rsidR="00A253DA">
        <w:t xml:space="preserve"> balance between achieving the desired housing growth and intensification, on the one hand</w:t>
      </w:r>
      <w:r w:rsidR="006607DE">
        <w:t>,</w:t>
      </w:r>
      <w:r w:rsidR="00A253DA">
        <w:t xml:space="preserve"> and also </w:t>
      </w:r>
      <w:r w:rsidR="001A381A">
        <w:t>providing the desired</w:t>
      </w:r>
      <w:r w:rsidR="008D513A">
        <w:t xml:space="preserve"> open garden setting</w:t>
      </w:r>
      <w:r w:rsidR="00A253DA">
        <w:t xml:space="preserve">, on the other hand.  </w:t>
      </w:r>
    </w:p>
    <w:p w:rsidR="00EC7354" w:rsidRDefault="00EC7354" w:rsidP="00211344">
      <w:pPr>
        <w:pStyle w:val="Para1"/>
      </w:pPr>
      <w:r>
        <w:t xml:space="preserve">Overall, I am satisfied that the proposal complies with Clause 55 of the planning scheme and is consistent with the built form </w:t>
      </w:r>
      <w:r w:rsidR="00A253DA">
        <w:t xml:space="preserve">and landscaping </w:t>
      </w:r>
      <w:r>
        <w:t xml:space="preserve">outcomes sought by the </w:t>
      </w:r>
      <w:r w:rsidR="00D844E4">
        <w:t>GRZ6</w:t>
      </w:r>
      <w:r>
        <w:t xml:space="preserve"> </w:t>
      </w:r>
      <w:r w:rsidR="00627C71">
        <w:t xml:space="preserve">(as described in the five neighbourhood character objectives) </w:t>
      </w:r>
      <w:r>
        <w:t xml:space="preserve">and </w:t>
      </w:r>
      <w:r w:rsidR="00A253DA">
        <w:t>the relevant aspects of the planning scheme’s local policies</w:t>
      </w:r>
      <w:r>
        <w:t xml:space="preserve">. </w:t>
      </w:r>
    </w:p>
    <w:p w:rsidR="009151FC" w:rsidRDefault="005A49DD">
      <w:pPr>
        <w:pStyle w:val="Heading2"/>
        <w:rPr>
          <w:caps w:val="0"/>
        </w:rPr>
      </w:pPr>
      <w:r>
        <w:rPr>
          <w:caps w:val="0"/>
        </w:rPr>
        <w:t>Are the proposal’s parking arrangements satisfactory?</w:t>
      </w:r>
    </w:p>
    <w:p w:rsidR="005A49DD" w:rsidRDefault="005A49DD" w:rsidP="005A49DD">
      <w:pPr>
        <w:pStyle w:val="Para1"/>
      </w:pPr>
      <w:r>
        <w:t>The Council submitted that the proposal should provide 6 on-site spaces to accord with Clause 22.10 of the planning scheme.  Moreover, the Council submitted that whilst the use of a car stacker is supported in principle, it opposes the specifics of the proposed arrangements in relation to the driveway ramp grade and the need for vehicles to reverse from the subject site.</w:t>
      </w:r>
    </w:p>
    <w:p w:rsidR="005A49DD" w:rsidRDefault="005A49DD" w:rsidP="005A49DD">
      <w:pPr>
        <w:pStyle w:val="Para1"/>
      </w:pPr>
      <w:r>
        <w:t xml:space="preserve">There is no </w:t>
      </w:r>
      <w:r w:rsidR="007339D1">
        <w:t xml:space="preserve">specific </w:t>
      </w:r>
      <w:r>
        <w:t xml:space="preserve">permit trigger for </w:t>
      </w:r>
      <w:r w:rsidR="007339D1">
        <w:t xml:space="preserve">reducing </w:t>
      </w:r>
      <w:r>
        <w:t>the proposed number of on-site car spaces, as student accommodation is not specified under Table 1 of Clause 52.06-5 of the planning scheme.</w:t>
      </w:r>
      <w:r w:rsidR="007339D1">
        <w:t xml:space="preserve">  However, Clause 52.06-6 of the planning scheme provides that:</w:t>
      </w:r>
    </w:p>
    <w:p w:rsidR="007339D1" w:rsidRDefault="007339D1" w:rsidP="007339D1">
      <w:pPr>
        <w:pStyle w:val="Quote1"/>
      </w:pPr>
      <w:r>
        <w:t xml:space="preserve">Where a use of land is not specified in Table 1 or where a car parking requirement is not specified for the use in another provision of the planning scheme or in a schedule to the Parking Overlay, before a new </w:t>
      </w:r>
      <w:r w:rsidR="006A30ED">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use commences or the floor area or site area of an existing use is increased, car parking spaces must be provided to the satisfaction of the responsible authority.</w:t>
      </w:r>
    </w:p>
    <w:p w:rsidR="007339D1" w:rsidRDefault="00AD2418" w:rsidP="007339D1">
      <w:pPr>
        <w:pStyle w:val="Para1"/>
      </w:pPr>
      <w:r>
        <w:t>In this case</w:t>
      </w:r>
      <w:r w:rsidR="00700259">
        <w:t>, pursuant to</w:t>
      </w:r>
      <w:r>
        <w:t xml:space="preserve"> Clause 22.10</w:t>
      </w:r>
      <w:r w:rsidR="00C62255">
        <w:t>-4</w:t>
      </w:r>
      <w:r>
        <w:t xml:space="preserve"> of the planning scheme</w:t>
      </w:r>
      <w:r w:rsidR="00700259">
        <w:t>, it is policy to assess the proposal against the performance measure that car spaces should be provided on site at a rate of a minimum of 0.3 spaces per bed.  This rate generates a requirement for 6 on-site spaces, whereas 5 on-site spaces are proposed (a reduction of one space).</w:t>
      </w:r>
    </w:p>
    <w:p w:rsidR="00700259" w:rsidRDefault="00700259" w:rsidP="007339D1">
      <w:pPr>
        <w:pStyle w:val="Para1"/>
      </w:pPr>
      <w:r>
        <w:t>The Clause 22.10-4 policy also states that:</w:t>
      </w:r>
    </w:p>
    <w:p w:rsidR="00700259" w:rsidRDefault="00700259" w:rsidP="00700259">
      <w:pPr>
        <w:pStyle w:val="Quote1"/>
      </w:pPr>
      <w:r w:rsidRPr="00700259">
        <w:t>A</w:t>
      </w:r>
      <w:r>
        <w:t xml:space="preserve"> </w:t>
      </w:r>
      <w:r w:rsidRPr="00700259">
        <w:t>Traffic</w:t>
      </w:r>
      <w:r>
        <w:t xml:space="preserve"> </w:t>
      </w:r>
      <w:r w:rsidRPr="00700259">
        <w:t>&amp;</w:t>
      </w:r>
      <w:r>
        <w:t xml:space="preserve"> </w:t>
      </w:r>
      <w:r w:rsidRPr="00700259">
        <w:t>Parking</w:t>
      </w:r>
      <w:r>
        <w:t xml:space="preserve"> </w:t>
      </w:r>
      <w:r w:rsidRPr="00700259">
        <w:t>Impact</w:t>
      </w:r>
      <w:r>
        <w:t xml:space="preserve"> </w:t>
      </w:r>
      <w:r w:rsidRPr="00700259">
        <w:t>Report</w:t>
      </w:r>
      <w:r>
        <w:t xml:space="preserve"> </w:t>
      </w:r>
      <w:r w:rsidRPr="00700259">
        <w:t>prepared</w:t>
      </w:r>
      <w:r>
        <w:t xml:space="preserve"> </w:t>
      </w:r>
      <w:r w:rsidRPr="00700259">
        <w:t>by</w:t>
      </w:r>
      <w:r>
        <w:t xml:space="preserve"> </w:t>
      </w:r>
      <w:r w:rsidRPr="00700259">
        <w:t>a</w:t>
      </w:r>
      <w:r>
        <w:t xml:space="preserve"> </w:t>
      </w:r>
      <w:r w:rsidRPr="00700259">
        <w:t>qualified</w:t>
      </w:r>
      <w:r>
        <w:t xml:space="preserve"> </w:t>
      </w:r>
      <w:r w:rsidRPr="00700259">
        <w:t>traffic</w:t>
      </w:r>
      <w:r>
        <w:t xml:space="preserve"> </w:t>
      </w:r>
      <w:r w:rsidRPr="00700259">
        <w:t>engineer</w:t>
      </w:r>
      <w:r>
        <w:t xml:space="preserve"> </w:t>
      </w:r>
      <w:r w:rsidRPr="00700259">
        <w:t>should</w:t>
      </w:r>
      <w:r>
        <w:t xml:space="preserve"> </w:t>
      </w:r>
      <w:r w:rsidRPr="00700259">
        <w:t>be</w:t>
      </w:r>
      <w:r>
        <w:t xml:space="preserve"> </w:t>
      </w:r>
      <w:r w:rsidRPr="00700259">
        <w:t>submitted as</w:t>
      </w:r>
      <w:r>
        <w:t xml:space="preserve"> </w:t>
      </w:r>
      <w:r w:rsidRPr="00700259">
        <w:t>part</w:t>
      </w:r>
      <w:r>
        <w:t xml:space="preserve"> </w:t>
      </w:r>
      <w:r w:rsidRPr="00700259">
        <w:t>of</w:t>
      </w:r>
      <w:r>
        <w:t xml:space="preserve"> </w:t>
      </w:r>
      <w:r w:rsidRPr="00700259">
        <w:t>any</w:t>
      </w:r>
      <w:r>
        <w:t xml:space="preserve"> </w:t>
      </w:r>
      <w:r w:rsidRPr="00700259">
        <w:t>planning</w:t>
      </w:r>
      <w:r>
        <w:t xml:space="preserve"> </w:t>
      </w:r>
      <w:r w:rsidRPr="00700259">
        <w:t>permit</w:t>
      </w:r>
      <w:r>
        <w:t xml:space="preserve"> </w:t>
      </w:r>
      <w:r w:rsidRPr="00700259">
        <w:t>application</w:t>
      </w:r>
      <w:r>
        <w:t xml:space="preserve"> </w:t>
      </w:r>
      <w:r w:rsidRPr="00700259">
        <w:t>that</w:t>
      </w:r>
      <w:r>
        <w:t xml:space="preserve"> </w:t>
      </w:r>
      <w:r w:rsidRPr="00700259">
        <w:t>provides</w:t>
      </w:r>
      <w:r>
        <w:t xml:space="preserve"> </w:t>
      </w:r>
      <w:r w:rsidRPr="00700259">
        <w:t>parking</w:t>
      </w:r>
      <w:r>
        <w:t xml:space="preserve"> </w:t>
      </w:r>
      <w:r w:rsidRPr="00700259">
        <w:t>at</w:t>
      </w:r>
      <w:r>
        <w:t xml:space="preserve"> </w:t>
      </w:r>
      <w:r w:rsidRPr="00700259">
        <w:t>a</w:t>
      </w:r>
      <w:r>
        <w:t xml:space="preserve"> </w:t>
      </w:r>
      <w:r w:rsidRPr="00700259">
        <w:t>rate</w:t>
      </w:r>
      <w:r>
        <w:t xml:space="preserve"> </w:t>
      </w:r>
      <w:r w:rsidRPr="00700259">
        <w:t>less</w:t>
      </w:r>
      <w:r>
        <w:t xml:space="preserve"> </w:t>
      </w:r>
      <w:r w:rsidRPr="00700259">
        <w:t>than</w:t>
      </w:r>
      <w:r>
        <w:t xml:space="preserve"> </w:t>
      </w:r>
      <w:r w:rsidRPr="00700259">
        <w:t>stated</w:t>
      </w:r>
      <w:r>
        <w:t xml:space="preserve"> </w:t>
      </w:r>
      <w:r w:rsidRPr="00700259">
        <w:t>above. This</w:t>
      </w:r>
      <w:r>
        <w:t xml:space="preserve"> </w:t>
      </w:r>
      <w:r w:rsidRPr="00700259">
        <w:t>report</w:t>
      </w:r>
      <w:r>
        <w:t xml:space="preserve"> </w:t>
      </w:r>
      <w:r w:rsidRPr="00700259">
        <w:t>should</w:t>
      </w:r>
      <w:r>
        <w:t xml:space="preserve"> </w:t>
      </w:r>
      <w:r w:rsidRPr="00700259">
        <w:t>provide</w:t>
      </w:r>
      <w:r>
        <w:t xml:space="preserve"> </w:t>
      </w:r>
      <w:r w:rsidRPr="00700259">
        <w:t>evidence</w:t>
      </w:r>
      <w:r>
        <w:t xml:space="preserve"> </w:t>
      </w:r>
      <w:r w:rsidRPr="00700259">
        <w:t>based</w:t>
      </w:r>
      <w:r>
        <w:t xml:space="preserve"> </w:t>
      </w:r>
      <w:r w:rsidRPr="00700259">
        <w:t>on</w:t>
      </w:r>
      <w:r>
        <w:t xml:space="preserve"> </w:t>
      </w:r>
      <w:r w:rsidRPr="00700259">
        <w:t>investigation</w:t>
      </w:r>
      <w:r>
        <w:t xml:space="preserve"> </w:t>
      </w:r>
      <w:r w:rsidRPr="00700259">
        <w:t>of</w:t>
      </w:r>
      <w:r>
        <w:t xml:space="preserve"> </w:t>
      </w:r>
      <w:r w:rsidRPr="00700259">
        <w:t>similar</w:t>
      </w:r>
      <w:r>
        <w:t xml:space="preserve"> </w:t>
      </w:r>
      <w:r w:rsidRPr="00700259">
        <w:t>facilities</w:t>
      </w:r>
      <w:r>
        <w:t xml:space="preserve"> </w:t>
      </w:r>
      <w:r w:rsidRPr="00700259">
        <w:t>with</w:t>
      </w:r>
      <w:r>
        <w:t xml:space="preserve"> </w:t>
      </w:r>
      <w:r w:rsidRPr="00700259">
        <w:t>similar locational</w:t>
      </w:r>
      <w:r>
        <w:t xml:space="preserve"> </w:t>
      </w:r>
      <w:r w:rsidRPr="00700259">
        <w:t>characteristics</w:t>
      </w:r>
      <w:r>
        <w:t xml:space="preserve"> </w:t>
      </w:r>
      <w:r w:rsidRPr="00700259">
        <w:t>to</w:t>
      </w:r>
      <w:r>
        <w:t xml:space="preserve"> </w:t>
      </w:r>
      <w:r w:rsidRPr="00700259">
        <w:t>justify</w:t>
      </w:r>
      <w:r>
        <w:t xml:space="preserve"> </w:t>
      </w:r>
      <w:r w:rsidRPr="00700259">
        <w:t>any</w:t>
      </w:r>
      <w:r>
        <w:t xml:space="preserve"> </w:t>
      </w:r>
      <w:r w:rsidRPr="00700259">
        <w:t>reduction</w:t>
      </w:r>
      <w:r>
        <w:t xml:space="preserve"> </w:t>
      </w:r>
      <w:r w:rsidRPr="00700259">
        <w:t>in</w:t>
      </w:r>
      <w:r>
        <w:t xml:space="preserve"> </w:t>
      </w:r>
      <w:r w:rsidRPr="00700259">
        <w:t>on-site</w:t>
      </w:r>
      <w:r>
        <w:t xml:space="preserve"> </w:t>
      </w:r>
      <w:r w:rsidRPr="00700259">
        <w:t>parking</w:t>
      </w:r>
      <w:r>
        <w:t xml:space="preserve"> </w:t>
      </w:r>
      <w:r w:rsidRPr="00700259">
        <w:t>rates.</w:t>
      </w:r>
    </w:p>
    <w:p w:rsidR="00700259" w:rsidRDefault="00700259" w:rsidP="00700259">
      <w:pPr>
        <w:pStyle w:val="Para1"/>
      </w:pPr>
      <w:r>
        <w:t xml:space="preserve">This means that the policy anticipates circumstances where a lower rate is appropriate.  The expert evidence of Mr Young incorporates a detailed car parking demand assessment, including data about car ownership rates of other nearby </w:t>
      </w:r>
      <w:r w:rsidR="00205F71">
        <w:t>student accommodation.  Based on the data in the expert evidence, the proposal would likely have a demand for 2 on-site spaces.</w:t>
      </w:r>
    </w:p>
    <w:p w:rsidR="00205F71" w:rsidRDefault="00205F71" w:rsidP="00700259">
      <w:pPr>
        <w:pStyle w:val="Para1"/>
      </w:pPr>
      <w:r>
        <w:t>On this basis (along with the site’s proximity to public transport; the existing on-street parking restrictions; and the cap on the number of resident permits available to future occupants) I think that the reduction in the on-site parking rate from 0.3 spaces to 0.22 spaces is justified.</w:t>
      </w:r>
    </w:p>
    <w:p w:rsidR="00C10F7E" w:rsidRDefault="00B81329" w:rsidP="00700259">
      <w:pPr>
        <w:pStyle w:val="Para1"/>
      </w:pPr>
      <w:r>
        <w:t>Mr Young’s evidence also includes an assessment against Design Standard 1 – Accessways of Clause 52.06 of the planning scheme.  A variation to one of these standards is required as the vehicles accessing the five on-site spaces will need to reverse out of the site.  The standard is that where an accessway serves four or more car spaces, cars should exit the site in a forwards direction.</w:t>
      </w:r>
    </w:p>
    <w:p w:rsidR="00205F71" w:rsidRDefault="00C10F7E" w:rsidP="00700259">
      <w:pPr>
        <w:pStyle w:val="Para1"/>
      </w:pPr>
      <w:r>
        <w:t>The expert evidence details five factors which result in Mr Young concluding that in this case reversing out of the site is acceptable.  His evidence is also that the accessway gradient is appropriate.</w:t>
      </w:r>
    </w:p>
    <w:p w:rsidR="00B81329" w:rsidRDefault="00C10F7E" w:rsidP="008A7DB0">
      <w:pPr>
        <w:pStyle w:val="Para1"/>
        <w:spacing w:after="40"/>
      </w:pPr>
      <w:r>
        <w:t xml:space="preserve">I accept Mr Young’s evidence and his conclusions.  </w:t>
      </w:r>
      <w:r w:rsidR="00B81329">
        <w:t xml:space="preserve">I therefore find that the proposal meets the </w:t>
      </w:r>
      <w:r w:rsidR="00F340CF">
        <w:t>purposes of</w:t>
      </w:r>
      <w:r w:rsidR="00B81329">
        <w:t xml:space="preserve"> Clause 52.06 of the planning scheme and that the car parking arrangements are satisfactory</w:t>
      </w:r>
      <w:r w:rsidR="00F340CF">
        <w:t xml:space="preserve"> pursuant to Clause </w:t>
      </w:r>
      <w:r w:rsidR="008A7DB0">
        <w:br/>
      </w:r>
      <w:r w:rsidR="00F340CF">
        <w:t>52.06-8</w:t>
      </w:r>
      <w:r w:rsidR="008A7DB0">
        <w:t xml:space="preserve"> of the planning scheme</w:t>
      </w:r>
      <w:r w:rsidR="00B81329">
        <w:t>.</w:t>
      </w:r>
    </w:p>
    <w:p w:rsidR="008A7DB0" w:rsidRDefault="008A7DB0">
      <w:pPr>
        <w:rPr>
          <w:rFonts w:ascii="Arial" w:hAnsi="Arial"/>
          <w:b/>
          <w:iCs/>
          <w:sz w:val="24"/>
          <w:szCs w:val="24"/>
        </w:rPr>
      </w:pPr>
      <w:r>
        <w:rPr>
          <w:caps/>
        </w:rPr>
        <w:br w:type="page"/>
      </w:r>
    </w:p>
    <w:p w:rsidR="00FC407F" w:rsidRPr="001B2259" w:rsidRDefault="006A30ED">
      <w:pPr>
        <w:pStyle w:val="Heading2"/>
        <w:rPr>
          <w:caps w:val="0"/>
        </w:rPr>
      </w:pPr>
      <w:r>
        <w:rPr>
          <w:caps w:val="0"/>
          <w:noProof/>
        </w:rPr>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1B2259">
        <w:rPr>
          <w:caps w:val="0"/>
        </w:rPr>
        <w:t>Conclusion</w:t>
      </w:r>
    </w:p>
    <w:p w:rsidR="00FC407F" w:rsidRDefault="00FC407F">
      <w:pPr>
        <w:pStyle w:val="Para1"/>
      </w:pPr>
      <w:r>
        <w:t>For the reasons explained above, the decision of the Responsible Authority is set aside.  A permit is issued subject to conditions.</w:t>
      </w:r>
    </w:p>
    <w:tbl>
      <w:tblPr>
        <w:tblW w:w="8721" w:type="dxa"/>
        <w:tblLayout w:type="fixed"/>
        <w:tblLook w:val="0000" w:firstRow="0" w:lastRow="0" w:firstColumn="0" w:lastColumn="0" w:noHBand="0" w:noVBand="0"/>
      </w:tblPr>
      <w:tblGrid>
        <w:gridCol w:w="2907"/>
        <w:gridCol w:w="2908"/>
        <w:gridCol w:w="2906"/>
      </w:tblGrid>
      <w:tr w:rsidR="00FC407F" w:rsidTr="008A7DB0">
        <w:tc>
          <w:tcPr>
            <w:tcW w:w="2907" w:type="dxa"/>
          </w:tcPr>
          <w:p w:rsidR="00FC407F" w:rsidRDefault="00FC407F">
            <w:pPr>
              <w:tabs>
                <w:tab w:val="left" w:pos="1515"/>
              </w:tabs>
              <w:rPr>
                <w:b/>
              </w:rPr>
            </w:pPr>
          </w:p>
          <w:p w:rsidR="008A7DB0" w:rsidRDefault="008A7DB0">
            <w:pPr>
              <w:tabs>
                <w:tab w:val="left" w:pos="1515"/>
              </w:tabs>
              <w:rPr>
                <w:b/>
              </w:rPr>
            </w:pPr>
          </w:p>
          <w:p w:rsidR="008A7DB0" w:rsidRDefault="008A7DB0">
            <w:pPr>
              <w:tabs>
                <w:tab w:val="left" w:pos="1515"/>
              </w:tabs>
              <w:rPr>
                <w:b/>
              </w:rPr>
            </w:pPr>
          </w:p>
          <w:p w:rsidR="008A7DB0" w:rsidRDefault="008A7DB0">
            <w:pPr>
              <w:tabs>
                <w:tab w:val="left" w:pos="1515"/>
              </w:tabs>
              <w:rPr>
                <w:b/>
              </w:rPr>
            </w:pPr>
          </w:p>
          <w:p w:rsidR="00FC407F" w:rsidRDefault="001B2259">
            <w:pPr>
              <w:tabs>
                <w:tab w:val="left" w:pos="1515"/>
              </w:tabs>
              <w:rPr>
                <w:b/>
              </w:rPr>
            </w:pPr>
            <w:r w:rsidRPr="001B2259">
              <w:t>Tracy Watson</w:t>
            </w:r>
            <w:r>
              <w:rPr>
                <w:b/>
              </w:rPr>
              <w:br/>
            </w:r>
            <w:r w:rsidR="00FC407F">
              <w:rPr>
                <w:b/>
              </w:rPr>
              <w:t>Member</w:t>
            </w:r>
          </w:p>
        </w:tc>
        <w:tc>
          <w:tcPr>
            <w:tcW w:w="2908" w:type="dxa"/>
          </w:tcPr>
          <w:p w:rsidR="00FC407F" w:rsidRDefault="00FC407F"/>
        </w:tc>
        <w:tc>
          <w:tcPr>
            <w:tcW w:w="2906" w:type="dxa"/>
          </w:tcPr>
          <w:p w:rsidR="00FC407F" w:rsidRDefault="00FC407F">
            <w:pPr>
              <w:tabs>
                <w:tab w:val="left" w:pos="1515"/>
              </w:tabs>
              <w:rPr>
                <w:b/>
              </w:rPr>
            </w:pPr>
          </w:p>
          <w:p w:rsidR="00FC407F" w:rsidRDefault="00FC407F">
            <w:pPr>
              <w:rPr>
                <w:b/>
              </w:rPr>
            </w:pPr>
          </w:p>
        </w:tc>
      </w:tr>
    </w:tbl>
    <w:p w:rsidR="00FC407F" w:rsidRDefault="00FC407F">
      <w:pPr>
        <w:pStyle w:val="Heading1"/>
      </w:pPr>
    </w:p>
    <w:p w:rsidR="00FC407F" w:rsidRDefault="00FC407F">
      <w:pPr>
        <w:pStyle w:val="Heading1"/>
      </w:pPr>
      <w:r>
        <w:br w:type="page"/>
      </w:r>
      <w:r w:rsidR="006A30ED">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APPENDIX A</w:t>
      </w:r>
    </w:p>
    <w:p w:rsidR="00FC407F"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FC407F" w:rsidTr="00137705">
        <w:tc>
          <w:tcPr>
            <w:tcW w:w="3708" w:type="dxa"/>
            <w:shd w:val="clear" w:color="auto" w:fill="auto"/>
          </w:tcPr>
          <w:p w:rsidR="00FC407F" w:rsidRPr="00137705" w:rsidRDefault="00FC407F">
            <w:pPr>
              <w:rPr>
                <w:rFonts w:ascii="Arial" w:hAnsi="Arial" w:cs="Arial"/>
                <w:b/>
                <w:sz w:val="24"/>
                <w:szCs w:val="24"/>
              </w:rPr>
            </w:pPr>
            <w:r w:rsidRPr="00137705">
              <w:rPr>
                <w:rFonts w:ascii="Arial" w:hAnsi="Arial" w:cs="Arial"/>
                <w:b/>
                <w:sz w:val="24"/>
                <w:szCs w:val="24"/>
              </w:rPr>
              <w:t>PERMIT APPLICATION NO:</w:t>
            </w:r>
          </w:p>
        </w:tc>
        <w:tc>
          <w:tcPr>
            <w:tcW w:w="5013" w:type="dxa"/>
            <w:shd w:val="clear" w:color="auto" w:fill="auto"/>
          </w:tcPr>
          <w:p w:rsidR="00FC407F" w:rsidRDefault="001036BE">
            <w:r>
              <w:t>TPA/</w:t>
            </w:r>
            <w:r w:rsidR="004044BC">
              <w:t>50110</w:t>
            </w:r>
          </w:p>
        </w:tc>
      </w:tr>
      <w:tr w:rsidR="00FC407F" w:rsidTr="00137705">
        <w:tc>
          <w:tcPr>
            <w:tcW w:w="3708" w:type="dxa"/>
            <w:tcBorders>
              <w:bottom w:val="single" w:sz="4" w:space="0" w:color="auto"/>
            </w:tcBorders>
            <w:shd w:val="clear" w:color="auto" w:fill="auto"/>
          </w:tcPr>
          <w:p w:rsidR="00FC407F" w:rsidRPr="00137705" w:rsidRDefault="00FC407F">
            <w:pPr>
              <w:rPr>
                <w:rFonts w:ascii="Arial" w:hAnsi="Arial" w:cs="Arial"/>
                <w:b/>
                <w:sz w:val="24"/>
                <w:szCs w:val="24"/>
              </w:rPr>
            </w:pPr>
            <w:r w:rsidRPr="00137705">
              <w:rPr>
                <w:rFonts w:ascii="Arial" w:hAnsi="Arial" w:cs="Arial"/>
                <w:b/>
                <w:sz w:val="24"/>
                <w:szCs w:val="24"/>
              </w:rPr>
              <w:t>LAND:</w:t>
            </w:r>
          </w:p>
        </w:tc>
        <w:tc>
          <w:tcPr>
            <w:tcW w:w="5013" w:type="dxa"/>
            <w:tcBorders>
              <w:bottom w:val="single" w:sz="4" w:space="0" w:color="auto"/>
            </w:tcBorders>
            <w:shd w:val="clear" w:color="auto" w:fill="auto"/>
          </w:tcPr>
          <w:p w:rsidR="00FC407F" w:rsidRDefault="004044BC">
            <w:pPr>
              <w:pStyle w:val="TitlePagetext"/>
            </w:pPr>
            <w:r>
              <w:t>2 Parker Street</w:t>
            </w:r>
            <w:r w:rsidR="001036BE">
              <w:t>, Clayton</w:t>
            </w:r>
          </w:p>
        </w:tc>
      </w:tr>
      <w:tr w:rsidR="00FC407F" w:rsidTr="00137705">
        <w:tc>
          <w:tcPr>
            <w:tcW w:w="8721" w:type="dxa"/>
            <w:gridSpan w:val="2"/>
            <w:tcBorders>
              <w:bottom w:val="nil"/>
            </w:tcBorders>
            <w:shd w:val="clear" w:color="auto" w:fill="auto"/>
          </w:tcPr>
          <w:p w:rsidR="00FC407F" w:rsidRPr="00137705" w:rsidRDefault="00FC407F">
            <w:pPr>
              <w:rPr>
                <w:rFonts w:ascii="Arial" w:hAnsi="Arial" w:cs="Arial"/>
                <w:b/>
                <w:sz w:val="24"/>
                <w:szCs w:val="24"/>
              </w:rPr>
            </w:pPr>
            <w:r w:rsidRPr="00137705">
              <w:rPr>
                <w:rFonts w:ascii="Arial" w:hAnsi="Arial" w:cs="Arial"/>
                <w:b/>
                <w:sz w:val="24"/>
                <w:szCs w:val="24"/>
              </w:rPr>
              <w:t>WHAT THE PERMIT ALLOWS:</w:t>
            </w:r>
          </w:p>
        </w:tc>
      </w:tr>
      <w:tr w:rsidR="00FC407F" w:rsidTr="00137705">
        <w:tc>
          <w:tcPr>
            <w:tcW w:w="8721" w:type="dxa"/>
            <w:gridSpan w:val="2"/>
            <w:tcBorders>
              <w:top w:val="nil"/>
            </w:tcBorders>
            <w:shd w:val="clear" w:color="auto" w:fill="auto"/>
          </w:tcPr>
          <w:p w:rsidR="00FC407F" w:rsidRDefault="004044BC" w:rsidP="005C579E">
            <w:pPr>
              <w:pStyle w:val="Para5"/>
            </w:pPr>
            <w:r>
              <w:t>Use and development of a three storey residential building (student accommodation for 23 students) and a reduction in the car parking requirements</w:t>
            </w:r>
            <w:r w:rsidR="00231ADA">
              <w:t xml:space="preserve">, </w:t>
            </w:r>
            <w:r w:rsidR="00FC407F">
              <w:t>in accordance with the endorsed plans.</w:t>
            </w:r>
          </w:p>
        </w:tc>
      </w:tr>
    </w:tbl>
    <w:p w:rsidR="00FC407F" w:rsidRDefault="00FC407F"/>
    <w:p w:rsidR="00FC407F" w:rsidRDefault="00FC407F" w:rsidP="00231ADA">
      <w:pPr>
        <w:pStyle w:val="Heading1"/>
        <w:spacing w:after="320"/>
        <w:rPr>
          <w:lang w:val="en-US"/>
        </w:rPr>
      </w:pPr>
      <w:bookmarkStart w:id="12" w:name="Default"/>
      <w:bookmarkEnd w:id="12"/>
      <w:r>
        <w:rPr>
          <w:lang w:val="en-US"/>
        </w:rPr>
        <w:t>conditions</w:t>
      </w:r>
    </w:p>
    <w:p w:rsidR="00927E91" w:rsidRPr="005B6219" w:rsidRDefault="00927E91" w:rsidP="005B6219">
      <w:pPr>
        <w:rPr>
          <w:b/>
        </w:rPr>
      </w:pPr>
    </w:p>
    <w:tbl>
      <w:tblPr>
        <w:tblW w:w="0" w:type="auto"/>
        <w:tblLook w:val="04A0" w:firstRow="1" w:lastRow="0" w:firstColumn="1" w:lastColumn="0" w:noHBand="0" w:noVBand="1"/>
      </w:tblPr>
      <w:tblGrid>
        <w:gridCol w:w="646"/>
        <w:gridCol w:w="7292"/>
      </w:tblGrid>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t>1.</w:t>
            </w:r>
          </w:p>
        </w:tc>
        <w:tc>
          <w:tcPr>
            <w:tcW w:w="7292" w:type="dxa"/>
          </w:tcPr>
          <w:p w:rsidR="00927E91" w:rsidRPr="005B6219" w:rsidRDefault="00927E91" w:rsidP="005B6219">
            <w:pPr>
              <w:rPr>
                <w:rFonts w:eastAsia="Calibri"/>
                <w:lang w:eastAsia="en-AU"/>
              </w:rPr>
            </w:pPr>
            <w:r w:rsidRPr="005B6219">
              <w:rPr>
                <w:rFonts w:eastAsia="Calibri"/>
                <w:lang w:val="en-US" w:eastAsia="en-AU"/>
              </w:rPr>
              <w:t xml:space="preserve">Before the development starts, </w:t>
            </w:r>
            <w:r w:rsidRPr="005B6219">
              <w:rPr>
                <w:rFonts w:eastAsia="Calibri"/>
                <w:lang w:eastAsia="en-AU"/>
              </w:rPr>
              <w:t>three copies of amended plans drawn to scale and dimensioned, must be submitted to and approved by the Responsible Authority.  The submitted plans must clearly delineate and highlight any changes.  When approved the plans will be endorsed and will then form part of the permit.</w:t>
            </w:r>
          </w:p>
          <w:p w:rsidR="00927E91" w:rsidRPr="005B6219" w:rsidRDefault="00927E91" w:rsidP="005B6219">
            <w:pPr>
              <w:pStyle w:val="other"/>
              <w:tabs>
                <w:tab w:val="left" w:pos="851"/>
              </w:tabs>
              <w:rPr>
                <w:sz w:val="26"/>
                <w:szCs w:val="26"/>
                <w:lang w:eastAsia="en-AU"/>
              </w:rPr>
            </w:pPr>
          </w:p>
          <w:p w:rsidR="00927E91" w:rsidRPr="005B6219" w:rsidRDefault="00927E91" w:rsidP="005B6219">
            <w:pPr>
              <w:pStyle w:val="other"/>
              <w:tabs>
                <w:tab w:val="left" w:pos="851"/>
              </w:tabs>
              <w:rPr>
                <w:sz w:val="26"/>
                <w:szCs w:val="26"/>
                <w:lang w:eastAsia="en-AU"/>
              </w:rPr>
            </w:pPr>
            <w:r w:rsidRPr="005B6219">
              <w:rPr>
                <w:sz w:val="26"/>
                <w:szCs w:val="26"/>
                <w:lang w:eastAsia="en-AU"/>
              </w:rPr>
              <w:t xml:space="preserve">The plans must be generally in accordance with the plans </w:t>
            </w:r>
            <w:r w:rsidR="005B6219">
              <w:rPr>
                <w:sz w:val="26"/>
                <w:szCs w:val="26"/>
                <w:lang w:eastAsia="en-AU"/>
              </w:rPr>
              <w:t xml:space="preserve">prepared by Eco-Urban Design Studio Pty Ltd dated 21 February 2020 Revision C </w:t>
            </w:r>
            <w:r w:rsidRPr="005B6219">
              <w:rPr>
                <w:sz w:val="26"/>
                <w:szCs w:val="26"/>
                <w:lang w:eastAsia="en-AU"/>
              </w:rPr>
              <w:t>but modified to show:</w:t>
            </w:r>
          </w:p>
          <w:p w:rsidR="00927E91" w:rsidRPr="005B6219" w:rsidRDefault="00927E91" w:rsidP="005B6219">
            <w:pPr>
              <w:pStyle w:val="other"/>
              <w:ind w:left="360"/>
              <w:rPr>
                <w:sz w:val="26"/>
                <w:szCs w:val="26"/>
                <w:lang w:val="en-US" w:eastAsia="en-AU"/>
              </w:rPr>
            </w:pPr>
          </w:p>
          <w:p w:rsidR="00927E91" w:rsidRPr="005B6219" w:rsidRDefault="005B6219" w:rsidP="005B6219">
            <w:pPr>
              <w:pStyle w:val="other"/>
              <w:numPr>
                <w:ilvl w:val="0"/>
                <w:numId w:val="22"/>
              </w:numPr>
              <w:rPr>
                <w:sz w:val="26"/>
                <w:szCs w:val="26"/>
                <w:lang w:val="en-US" w:eastAsia="en-AU"/>
              </w:rPr>
            </w:pPr>
            <w:r>
              <w:rPr>
                <w:sz w:val="26"/>
                <w:szCs w:val="26"/>
                <w:lang w:val="en-US" w:eastAsia="en-AU"/>
              </w:rPr>
              <w:t>F</w:t>
            </w:r>
            <w:r w:rsidR="00927E91" w:rsidRPr="005B6219">
              <w:rPr>
                <w:sz w:val="26"/>
                <w:szCs w:val="26"/>
                <w:lang w:val="en-US" w:eastAsia="en-AU"/>
              </w:rPr>
              <w:t>enc</w:t>
            </w:r>
            <w:r>
              <w:rPr>
                <w:sz w:val="26"/>
                <w:szCs w:val="26"/>
                <w:lang w:val="en-US" w:eastAsia="en-AU"/>
              </w:rPr>
              <w:t>ing along</w:t>
            </w:r>
            <w:r w:rsidR="00927E91" w:rsidRPr="005B6219">
              <w:rPr>
                <w:sz w:val="26"/>
                <w:szCs w:val="26"/>
                <w:lang w:val="en-US" w:eastAsia="en-AU"/>
              </w:rPr>
              <w:t xml:space="preserve"> the north</w:t>
            </w:r>
            <w:r>
              <w:rPr>
                <w:sz w:val="26"/>
                <w:szCs w:val="26"/>
                <w:lang w:val="en-US" w:eastAsia="en-AU"/>
              </w:rPr>
              <w:t>ern</w:t>
            </w:r>
            <w:r w:rsidR="00927E91" w:rsidRPr="005B6219">
              <w:rPr>
                <w:sz w:val="26"/>
                <w:szCs w:val="26"/>
                <w:lang w:val="en-US" w:eastAsia="en-AU"/>
              </w:rPr>
              <w:t xml:space="preserve"> boundary to </w:t>
            </w:r>
            <w:r>
              <w:rPr>
                <w:sz w:val="26"/>
                <w:szCs w:val="26"/>
                <w:lang w:val="en-US" w:eastAsia="en-AU"/>
              </w:rPr>
              <w:t xml:space="preserve">have </w:t>
            </w:r>
            <w:r w:rsidR="00927E91" w:rsidRPr="005B6219">
              <w:rPr>
                <w:sz w:val="26"/>
                <w:szCs w:val="26"/>
                <w:lang w:val="en-US" w:eastAsia="en-AU"/>
              </w:rPr>
              <w:t xml:space="preserve">a </w:t>
            </w:r>
            <w:r>
              <w:rPr>
                <w:sz w:val="26"/>
                <w:szCs w:val="26"/>
                <w:lang w:val="en-US" w:eastAsia="en-AU"/>
              </w:rPr>
              <w:t xml:space="preserve">minimum </w:t>
            </w:r>
            <w:r w:rsidR="00927E91" w:rsidRPr="005B6219">
              <w:rPr>
                <w:sz w:val="26"/>
                <w:szCs w:val="26"/>
                <w:lang w:val="en-US" w:eastAsia="en-AU"/>
              </w:rPr>
              <w:t>height of 1.8 metres.</w:t>
            </w:r>
          </w:p>
          <w:p w:rsidR="00927E91" w:rsidRPr="005B6219" w:rsidRDefault="00927E91" w:rsidP="005B6219">
            <w:pPr>
              <w:pStyle w:val="ListParagraph"/>
              <w:rPr>
                <w:lang w:val="en-US" w:eastAsia="en-AU"/>
              </w:rPr>
            </w:pPr>
          </w:p>
          <w:p w:rsidR="00927E91" w:rsidRPr="005B6219" w:rsidRDefault="00927E91" w:rsidP="005B6219">
            <w:pPr>
              <w:pStyle w:val="other"/>
              <w:numPr>
                <w:ilvl w:val="0"/>
                <w:numId w:val="22"/>
              </w:numPr>
              <w:rPr>
                <w:sz w:val="26"/>
                <w:szCs w:val="26"/>
                <w:lang w:val="en-US" w:eastAsia="en-AU"/>
              </w:rPr>
            </w:pPr>
            <w:r w:rsidRPr="005B6219">
              <w:rPr>
                <w:sz w:val="26"/>
                <w:szCs w:val="26"/>
                <w:lang w:val="en-US" w:eastAsia="en-AU"/>
              </w:rPr>
              <w:t xml:space="preserve">Tree protection measures in accordance with the arborist report by Tree Response dated 17 April 2019 to protect trees on adjoining properties. </w:t>
            </w:r>
          </w:p>
          <w:p w:rsidR="00927E91" w:rsidRPr="005B6219" w:rsidRDefault="00927E91" w:rsidP="005B6219">
            <w:pPr>
              <w:pStyle w:val="ListParagraph"/>
              <w:rPr>
                <w:lang w:val="en-US" w:eastAsia="en-AU"/>
              </w:rPr>
            </w:pPr>
          </w:p>
          <w:p w:rsidR="00927E91" w:rsidRPr="005B6219" w:rsidRDefault="00927E91" w:rsidP="005B6219">
            <w:pPr>
              <w:pStyle w:val="other"/>
              <w:numPr>
                <w:ilvl w:val="0"/>
                <w:numId w:val="22"/>
              </w:numPr>
              <w:rPr>
                <w:sz w:val="26"/>
                <w:szCs w:val="26"/>
                <w:lang w:val="en-US" w:eastAsia="en-AU"/>
              </w:rPr>
            </w:pPr>
            <w:r w:rsidRPr="005B6219">
              <w:rPr>
                <w:sz w:val="26"/>
                <w:szCs w:val="26"/>
                <w:lang w:val="en-US" w:eastAsia="en-AU"/>
              </w:rPr>
              <w:t xml:space="preserve">The location, dimensions and materials of meter boxes to the satisfaction of the Responsible Authority. </w:t>
            </w:r>
          </w:p>
          <w:p w:rsidR="00927E91" w:rsidRPr="005B6219" w:rsidRDefault="00927E91" w:rsidP="005B6219">
            <w:pPr>
              <w:pStyle w:val="other"/>
              <w:rPr>
                <w:sz w:val="26"/>
                <w:szCs w:val="26"/>
                <w:lang w:val="en-US" w:eastAsia="en-AU"/>
              </w:rPr>
            </w:pPr>
          </w:p>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t>2.</w:t>
            </w:r>
          </w:p>
        </w:tc>
        <w:tc>
          <w:tcPr>
            <w:tcW w:w="7292" w:type="dxa"/>
          </w:tcPr>
          <w:p w:rsidR="00927E91" w:rsidRPr="005B6219" w:rsidRDefault="00927E91" w:rsidP="005B6219">
            <w:pPr>
              <w:rPr>
                <w:lang w:eastAsia="en-AU"/>
              </w:rPr>
            </w:pPr>
            <w:r w:rsidRPr="005B6219">
              <w:rPr>
                <w:rFonts w:eastAsia="Calibri"/>
                <w:lang w:val="en-US" w:eastAsia="en-AU"/>
              </w:rPr>
              <w:t>The use and development as shown on</w:t>
            </w:r>
            <w:r w:rsidRPr="005B6219">
              <w:rPr>
                <w:rFonts w:eastAsia="Calibri"/>
                <w:lang w:eastAsia="en-AU"/>
              </w:rPr>
              <w:t xml:space="preserve"> the endorsed plans must not be altered without the written consent of the Responsible Authority.</w:t>
            </w:r>
          </w:p>
          <w:p w:rsidR="00927E91" w:rsidRPr="005B6219" w:rsidRDefault="00927E91" w:rsidP="005B6219">
            <w:pPr>
              <w:rPr>
                <w:rFonts w:eastAsia="Calibri"/>
                <w:lang w:eastAsia="en-AU"/>
              </w:rPr>
            </w:pPr>
          </w:p>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t>3.</w:t>
            </w:r>
          </w:p>
        </w:tc>
        <w:tc>
          <w:tcPr>
            <w:tcW w:w="7292" w:type="dxa"/>
          </w:tcPr>
          <w:p w:rsidR="00927E91" w:rsidRPr="005B6219" w:rsidRDefault="006A30ED" w:rsidP="005B6219">
            <w:pPr>
              <w:rPr>
                <w:lang w:eastAsia="en-AU"/>
              </w:rPr>
            </w:pPr>
            <w:r>
              <w:rPr>
                <w:rFonts w:eastAsia="Calibri"/>
                <w:noProof/>
                <w:lang w:val="en-US" w:eastAsia="en-AU"/>
              </w:rPr>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7E91" w:rsidRPr="005B6219">
              <w:rPr>
                <w:rFonts w:eastAsia="Calibri"/>
                <w:lang w:val="en-US" w:eastAsia="en-AU"/>
              </w:rPr>
              <w:t xml:space="preserve">A landscape plan </w:t>
            </w:r>
            <w:r w:rsidR="005B6219">
              <w:rPr>
                <w:rFonts w:eastAsia="Calibri"/>
                <w:lang w:val="en-US" w:eastAsia="en-AU"/>
              </w:rPr>
              <w:t>generally in accordance with the plan prepared by Etched dated Mar. 2020, drawing no. L-VC1</w:t>
            </w:r>
            <w:r w:rsidR="00927E91" w:rsidRPr="005B6219">
              <w:rPr>
                <w:rFonts w:eastAsia="Calibri"/>
                <w:lang w:eastAsia="en-AU"/>
              </w:rPr>
              <w:t>, to scale and dimensioned must be submitted to and approved by the Responsible Authority prior to the commencement of any works. The plan must show the proposed landscape treatment of the site including:-</w:t>
            </w:r>
          </w:p>
          <w:p w:rsidR="00927E91" w:rsidRPr="005B6219" w:rsidRDefault="00927E91" w:rsidP="005B6219">
            <w:pPr>
              <w:rPr>
                <w:rFonts w:eastAsia="Calibri"/>
                <w:lang w:eastAsia="en-AU"/>
              </w:rPr>
            </w:pPr>
          </w:p>
          <w:p w:rsidR="00927E91" w:rsidRPr="005B6219" w:rsidRDefault="00927E91" w:rsidP="005B6219">
            <w:pPr>
              <w:pStyle w:val="other"/>
              <w:numPr>
                <w:ilvl w:val="0"/>
                <w:numId w:val="23"/>
              </w:numPr>
              <w:rPr>
                <w:sz w:val="26"/>
                <w:szCs w:val="26"/>
                <w:lang w:eastAsia="en-AU"/>
              </w:rPr>
            </w:pPr>
            <w:r w:rsidRPr="005B6219">
              <w:rPr>
                <w:sz w:val="26"/>
                <w:szCs w:val="26"/>
                <w:lang w:eastAsia="en-AU"/>
              </w:rPr>
              <w:t xml:space="preserve">Provision of a canopy trees with spreading crowns within the private open space areas of the site.  </w:t>
            </w:r>
          </w:p>
          <w:p w:rsidR="00927E91" w:rsidRPr="005B6219" w:rsidRDefault="00927E91" w:rsidP="005B6219">
            <w:pPr>
              <w:pStyle w:val="ListParagraph"/>
              <w:rPr>
                <w:lang w:eastAsia="en-AU"/>
              </w:rPr>
            </w:pPr>
          </w:p>
          <w:p w:rsidR="00927E91" w:rsidRPr="005B6219" w:rsidRDefault="00927E91" w:rsidP="005B6219">
            <w:pPr>
              <w:pStyle w:val="other"/>
              <w:numPr>
                <w:ilvl w:val="0"/>
                <w:numId w:val="23"/>
              </w:numPr>
              <w:rPr>
                <w:sz w:val="26"/>
                <w:szCs w:val="26"/>
                <w:lang w:eastAsia="en-AU"/>
              </w:rPr>
            </w:pPr>
            <w:r w:rsidRPr="005B6219">
              <w:rPr>
                <w:sz w:val="26"/>
                <w:szCs w:val="26"/>
                <w:lang w:eastAsia="en-AU"/>
              </w:rPr>
              <w:t>planting to soften the appearance of hard surface areas such as driveways and other paved areas.</w:t>
            </w:r>
          </w:p>
          <w:p w:rsidR="00927E91" w:rsidRPr="005B6219" w:rsidRDefault="00927E91" w:rsidP="005B6219">
            <w:pPr>
              <w:pStyle w:val="ListParagraph"/>
              <w:rPr>
                <w:lang w:eastAsia="en-AU"/>
              </w:rPr>
            </w:pPr>
          </w:p>
          <w:p w:rsidR="00927E91" w:rsidRPr="005B6219" w:rsidRDefault="00927E91" w:rsidP="005B6219">
            <w:pPr>
              <w:pStyle w:val="other"/>
              <w:numPr>
                <w:ilvl w:val="0"/>
                <w:numId w:val="23"/>
              </w:numPr>
              <w:rPr>
                <w:sz w:val="26"/>
                <w:szCs w:val="26"/>
                <w:lang w:eastAsia="en-AU"/>
              </w:rPr>
            </w:pPr>
            <w:r w:rsidRPr="005B6219">
              <w:rPr>
                <w:sz w:val="26"/>
                <w:szCs w:val="26"/>
                <w:lang w:eastAsia="en-AU"/>
              </w:rPr>
              <w:t>a schedule of all proposed trees, shrubs and ground cover, which will include the size of all plants (at planting and at maturity), their location, botanical names and the location of all areas to be covered by grass, lawn, mulch or other surface material.</w:t>
            </w:r>
          </w:p>
          <w:p w:rsidR="00927E91" w:rsidRPr="005B6219" w:rsidRDefault="00927E91" w:rsidP="005B6219">
            <w:pPr>
              <w:pStyle w:val="other"/>
              <w:ind w:left="360"/>
              <w:rPr>
                <w:sz w:val="26"/>
                <w:szCs w:val="26"/>
                <w:lang w:eastAsia="en-AU"/>
              </w:rPr>
            </w:pPr>
          </w:p>
          <w:p w:rsidR="00927E91" w:rsidRPr="005B6219" w:rsidRDefault="00927E91" w:rsidP="005B6219">
            <w:pPr>
              <w:pStyle w:val="other"/>
              <w:numPr>
                <w:ilvl w:val="0"/>
                <w:numId w:val="23"/>
              </w:numPr>
              <w:rPr>
                <w:sz w:val="26"/>
                <w:szCs w:val="26"/>
                <w:lang w:eastAsia="en-AU"/>
              </w:rPr>
            </w:pPr>
            <w:r w:rsidRPr="005B6219">
              <w:rPr>
                <w:sz w:val="26"/>
                <w:szCs w:val="26"/>
                <w:lang w:eastAsia="en-AU"/>
              </w:rPr>
              <w:t>the location and details of all fencing.</w:t>
            </w:r>
          </w:p>
          <w:p w:rsidR="00927E91" w:rsidRPr="005B6219" w:rsidRDefault="00927E91" w:rsidP="005B6219">
            <w:pPr>
              <w:pStyle w:val="ListParagraph"/>
              <w:rPr>
                <w:lang w:eastAsia="en-AU"/>
              </w:rPr>
            </w:pPr>
          </w:p>
          <w:p w:rsidR="00927E91" w:rsidRPr="005B6219" w:rsidRDefault="00927E91" w:rsidP="005B6219">
            <w:pPr>
              <w:pStyle w:val="other"/>
              <w:numPr>
                <w:ilvl w:val="0"/>
                <w:numId w:val="23"/>
              </w:numPr>
              <w:rPr>
                <w:sz w:val="26"/>
                <w:szCs w:val="26"/>
                <w:lang w:eastAsia="en-AU"/>
              </w:rPr>
            </w:pPr>
            <w:r w:rsidRPr="005B6219">
              <w:rPr>
                <w:sz w:val="26"/>
                <w:szCs w:val="26"/>
                <w:lang w:eastAsia="en-AU"/>
              </w:rPr>
              <w:t>the extent of any cut, fill, embankments or retaining walls associated with the landscape treatment of the site.</w:t>
            </w:r>
          </w:p>
          <w:p w:rsidR="00927E91" w:rsidRPr="005B6219" w:rsidRDefault="00927E91" w:rsidP="005B6219">
            <w:pPr>
              <w:pStyle w:val="ListParagraph"/>
              <w:rPr>
                <w:lang w:eastAsia="en-AU"/>
              </w:rPr>
            </w:pPr>
          </w:p>
          <w:p w:rsidR="00927E91" w:rsidRPr="005B6219" w:rsidRDefault="00927E91" w:rsidP="005B6219">
            <w:pPr>
              <w:pStyle w:val="other"/>
              <w:numPr>
                <w:ilvl w:val="0"/>
                <w:numId w:val="23"/>
              </w:numPr>
              <w:rPr>
                <w:sz w:val="26"/>
                <w:szCs w:val="26"/>
                <w:lang w:eastAsia="en-AU"/>
              </w:rPr>
            </w:pPr>
            <w:r w:rsidRPr="005B6219">
              <w:rPr>
                <w:sz w:val="26"/>
                <w:szCs w:val="26"/>
                <w:lang w:eastAsia="en-AU"/>
              </w:rPr>
              <w:t>details of all proposed hard surface materials including pathways, patio or decked areas.</w:t>
            </w:r>
          </w:p>
          <w:p w:rsidR="00927E91" w:rsidRPr="005B6219" w:rsidRDefault="00927E91" w:rsidP="005B6219">
            <w:pPr>
              <w:pStyle w:val="other"/>
              <w:ind w:left="567" w:hanging="567"/>
              <w:rPr>
                <w:sz w:val="26"/>
                <w:szCs w:val="26"/>
                <w:lang w:eastAsia="en-AU"/>
              </w:rPr>
            </w:pPr>
          </w:p>
          <w:p w:rsidR="00927E91" w:rsidRPr="005B6219" w:rsidRDefault="00927E91" w:rsidP="005B6219">
            <w:pPr>
              <w:pStyle w:val="other"/>
              <w:rPr>
                <w:sz w:val="26"/>
                <w:szCs w:val="26"/>
                <w:lang w:eastAsia="en-AU"/>
              </w:rPr>
            </w:pPr>
            <w:r w:rsidRPr="005B6219">
              <w:rPr>
                <w:sz w:val="26"/>
                <w:szCs w:val="26"/>
                <w:lang w:eastAsia="en-AU"/>
              </w:rPr>
              <w:t>When approved the plan will be endorsed and will then form part of the permit.</w:t>
            </w:r>
          </w:p>
          <w:p w:rsidR="00927E91" w:rsidRPr="005B6219" w:rsidRDefault="00927E91" w:rsidP="005B6219">
            <w:pPr>
              <w:pStyle w:val="other"/>
              <w:rPr>
                <w:sz w:val="26"/>
                <w:szCs w:val="26"/>
                <w:lang w:eastAsia="en-AU"/>
              </w:rPr>
            </w:pPr>
          </w:p>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lastRenderedPageBreak/>
              <w:t>4.</w:t>
            </w:r>
          </w:p>
        </w:tc>
        <w:tc>
          <w:tcPr>
            <w:tcW w:w="7292" w:type="dxa"/>
          </w:tcPr>
          <w:p w:rsidR="00927E91" w:rsidRPr="005B6219" w:rsidRDefault="00927E91" w:rsidP="005B6219">
            <w:pPr>
              <w:rPr>
                <w:lang w:eastAsia="en-AU"/>
              </w:rPr>
            </w:pPr>
            <w:r w:rsidRPr="005B6219">
              <w:rPr>
                <w:rFonts w:eastAsia="Calibri"/>
                <w:lang w:val="en-US" w:eastAsia="en-AU"/>
              </w:rPr>
              <w:t>Before the occupation of the</w:t>
            </w:r>
            <w:r w:rsidRPr="005B6219">
              <w:rPr>
                <w:rFonts w:eastAsia="Calibri"/>
                <w:lang w:eastAsia="en-AU"/>
              </w:rPr>
              <w:t xml:space="preserve"> buildings allowed by this permit, landscaping works as shown on the endorsed plans must be completed to the satisfaction of the Responsible Authority and then maintained to the satisfaction of the Responsible Authority.</w:t>
            </w:r>
          </w:p>
          <w:p w:rsidR="00927E91" w:rsidRPr="005B6219" w:rsidRDefault="00927E91" w:rsidP="005B6219">
            <w:pPr>
              <w:rPr>
                <w:rFonts w:eastAsia="Calibri"/>
                <w:lang w:eastAsia="en-AU"/>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5.</w:t>
            </w:r>
          </w:p>
        </w:tc>
        <w:tc>
          <w:tcPr>
            <w:tcW w:w="7292" w:type="dxa"/>
          </w:tcPr>
          <w:p w:rsidR="00927E91" w:rsidRPr="005B6219" w:rsidRDefault="00927E91" w:rsidP="005B6219">
            <w:pPr>
              <w:pStyle w:val="other"/>
              <w:tabs>
                <w:tab w:val="left" w:pos="851"/>
              </w:tabs>
              <w:rPr>
                <w:sz w:val="26"/>
                <w:szCs w:val="26"/>
              </w:rPr>
            </w:pPr>
            <w:r w:rsidRPr="005B6219">
              <w:rPr>
                <w:sz w:val="26"/>
                <w:szCs w:val="26"/>
              </w:rPr>
              <w:t>No more than 23 students must reside at the premises at any one time.</w:t>
            </w:r>
          </w:p>
        </w:tc>
      </w:tr>
      <w:tr w:rsidR="00927E91" w:rsidRPr="005B6219" w:rsidTr="00C541E4">
        <w:tc>
          <w:tcPr>
            <w:tcW w:w="646" w:type="dxa"/>
          </w:tcPr>
          <w:p w:rsidR="00927E91" w:rsidRPr="005B6219" w:rsidRDefault="00927E91" w:rsidP="005B6219">
            <w:pPr>
              <w:rPr>
                <w:rFonts w:eastAsia="Calibri"/>
                <w:lang w:val="en-US" w:eastAsia="en-AU"/>
              </w:rPr>
            </w:pPr>
          </w:p>
        </w:tc>
        <w:tc>
          <w:tcPr>
            <w:tcW w:w="7292" w:type="dxa"/>
          </w:tcPr>
          <w:p w:rsidR="00927E91" w:rsidRPr="005B6219" w:rsidRDefault="00927E91" w:rsidP="005B6219">
            <w:pPr>
              <w:rPr>
                <w:rFonts w:eastAsia="Calibri"/>
                <w:lang w:val="en-US" w:eastAsia="en-AU"/>
              </w:rPr>
            </w:pPr>
          </w:p>
        </w:tc>
      </w:tr>
      <w:tr w:rsidR="00927E91" w:rsidRPr="005B6219" w:rsidTr="00C541E4">
        <w:tc>
          <w:tcPr>
            <w:tcW w:w="646" w:type="dxa"/>
            <w:hideMark/>
          </w:tcPr>
          <w:p w:rsidR="00927E91" w:rsidRPr="005B6219" w:rsidRDefault="005B6219" w:rsidP="005B6219">
            <w:pPr>
              <w:rPr>
                <w:rFonts w:eastAsia="Calibri"/>
                <w:highlight w:val="yellow"/>
                <w:lang w:val="en-US" w:eastAsia="en-AU"/>
              </w:rPr>
            </w:pPr>
            <w:r>
              <w:rPr>
                <w:rFonts w:eastAsia="Calibri"/>
                <w:lang w:val="en-US" w:eastAsia="en-AU"/>
              </w:rPr>
              <w:t>6</w:t>
            </w:r>
            <w:r w:rsidR="00927E91" w:rsidRPr="005B6219">
              <w:rPr>
                <w:rFonts w:eastAsia="Calibri"/>
                <w:lang w:val="en-US" w:eastAsia="en-AU"/>
              </w:rPr>
              <w:t>.</w:t>
            </w:r>
          </w:p>
        </w:tc>
        <w:tc>
          <w:tcPr>
            <w:tcW w:w="7292" w:type="dxa"/>
          </w:tcPr>
          <w:p w:rsidR="00927E91" w:rsidRPr="005B6219" w:rsidRDefault="00927E91" w:rsidP="005B6219">
            <w:r w:rsidRPr="005B6219">
              <w:rPr>
                <w:rFonts w:eastAsia="Calibri"/>
              </w:rPr>
              <w:t xml:space="preserve">The nature strip tree must be protected by temporary rectangular wire fencing as per Australian Standards erected prior to commencement of works until completion. </w:t>
            </w:r>
          </w:p>
          <w:p w:rsidR="00927E91" w:rsidRPr="005B6219" w:rsidRDefault="00927E91" w:rsidP="005B6219">
            <w:pPr>
              <w:rPr>
                <w:rFonts w:eastAsia="Calibri"/>
              </w:rPr>
            </w:pPr>
          </w:p>
        </w:tc>
      </w:tr>
      <w:tr w:rsidR="00927E91" w:rsidRPr="005B6219" w:rsidTr="00C541E4">
        <w:tc>
          <w:tcPr>
            <w:tcW w:w="646" w:type="dxa"/>
            <w:hideMark/>
          </w:tcPr>
          <w:p w:rsidR="00927E91" w:rsidRPr="005B6219" w:rsidRDefault="005B6219" w:rsidP="005B6219">
            <w:pPr>
              <w:rPr>
                <w:rFonts w:eastAsia="Calibri"/>
                <w:lang w:val="en-US" w:eastAsia="en-AU"/>
              </w:rPr>
            </w:pPr>
            <w:r>
              <w:rPr>
                <w:rFonts w:eastAsia="Calibri"/>
                <w:lang w:val="en-US" w:eastAsia="en-AU"/>
              </w:rPr>
              <w:t>7</w:t>
            </w:r>
            <w:r w:rsidR="00927E91" w:rsidRPr="005B6219">
              <w:rPr>
                <w:rFonts w:eastAsia="Calibri"/>
                <w:lang w:val="en-US" w:eastAsia="en-AU"/>
              </w:rPr>
              <w:t>.</w:t>
            </w:r>
          </w:p>
        </w:tc>
        <w:tc>
          <w:tcPr>
            <w:tcW w:w="7292" w:type="dxa"/>
          </w:tcPr>
          <w:p w:rsidR="00927E91" w:rsidRPr="005B6219" w:rsidRDefault="00927E91" w:rsidP="005B6219">
            <w:pPr>
              <w:rPr>
                <w:lang w:val="en-US" w:eastAsia="en-AU"/>
              </w:rPr>
            </w:pPr>
            <w:r w:rsidRPr="005B6219">
              <w:rPr>
                <w:rFonts w:eastAsia="Calibri"/>
                <w:lang w:val="en-US" w:eastAsia="en-AU"/>
              </w:rP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rsidR="00927E91" w:rsidRPr="005B6219" w:rsidRDefault="00927E91" w:rsidP="005B6219">
            <w:pPr>
              <w:rPr>
                <w:rFonts w:eastAsia="Calibri"/>
                <w:lang w:val="en-US" w:eastAsia="en-AU"/>
              </w:rPr>
            </w:pPr>
          </w:p>
        </w:tc>
      </w:tr>
      <w:tr w:rsidR="00927E91" w:rsidRPr="005B6219" w:rsidTr="00C541E4">
        <w:tc>
          <w:tcPr>
            <w:tcW w:w="646" w:type="dxa"/>
            <w:hideMark/>
          </w:tcPr>
          <w:p w:rsidR="00927E91" w:rsidRPr="005B6219" w:rsidRDefault="00B4364E" w:rsidP="005B6219">
            <w:pPr>
              <w:rPr>
                <w:rFonts w:eastAsia="Calibri"/>
                <w:lang w:val="en-US" w:eastAsia="en-AU"/>
              </w:rPr>
            </w:pPr>
            <w:r>
              <w:rPr>
                <w:rFonts w:eastAsia="Calibri"/>
                <w:lang w:val="en-US" w:eastAsia="en-AU"/>
              </w:rPr>
              <w:t>8</w:t>
            </w:r>
            <w:r w:rsidR="00927E91" w:rsidRPr="005B6219">
              <w:rPr>
                <w:rFonts w:eastAsia="Calibri"/>
                <w:lang w:val="en-US" w:eastAsia="en-AU"/>
              </w:rPr>
              <w:t>.</w:t>
            </w:r>
          </w:p>
        </w:tc>
        <w:tc>
          <w:tcPr>
            <w:tcW w:w="7292" w:type="dxa"/>
          </w:tcPr>
          <w:p w:rsidR="00927E91" w:rsidRPr="005B6219" w:rsidRDefault="006A30ED" w:rsidP="005B6219">
            <w:pPr>
              <w:pStyle w:val="other"/>
              <w:tabs>
                <w:tab w:val="left" w:pos="851"/>
              </w:tabs>
              <w:rPr>
                <w:sz w:val="26"/>
                <w:szCs w:val="26"/>
              </w:rPr>
            </w:pPr>
            <w:r>
              <w:rPr>
                <w:noProof/>
                <w:sz w:val="26"/>
                <w:szCs w:val="26"/>
              </w:rPr>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7E91" w:rsidRPr="005B6219">
              <w:rPr>
                <w:sz w:val="26"/>
                <w:szCs w:val="26"/>
              </w:rPr>
              <w:t>The amenity of the area must not be detrimentally affected by the use or development, through the:</w:t>
            </w:r>
          </w:p>
          <w:p w:rsidR="00927E91" w:rsidRPr="005B6219" w:rsidRDefault="00927E91" w:rsidP="005B6219">
            <w:pPr>
              <w:pStyle w:val="other"/>
              <w:numPr>
                <w:ilvl w:val="0"/>
                <w:numId w:val="25"/>
              </w:numPr>
              <w:rPr>
                <w:sz w:val="26"/>
                <w:szCs w:val="26"/>
              </w:rPr>
            </w:pPr>
            <w:r w:rsidRPr="005B6219">
              <w:rPr>
                <w:sz w:val="26"/>
                <w:szCs w:val="26"/>
              </w:rPr>
              <w:t>transport of materials, goods or commodities to or from the land;</w:t>
            </w:r>
          </w:p>
          <w:p w:rsidR="00927E91" w:rsidRPr="005B6219" w:rsidRDefault="00927E91" w:rsidP="005B6219">
            <w:pPr>
              <w:pStyle w:val="other"/>
              <w:numPr>
                <w:ilvl w:val="0"/>
                <w:numId w:val="25"/>
              </w:numPr>
              <w:rPr>
                <w:sz w:val="26"/>
                <w:szCs w:val="26"/>
              </w:rPr>
            </w:pPr>
            <w:r w:rsidRPr="005B6219">
              <w:rPr>
                <w:sz w:val="26"/>
                <w:szCs w:val="26"/>
              </w:rPr>
              <w:t>appearance of any building, works or materials;</w:t>
            </w:r>
          </w:p>
          <w:p w:rsidR="00927E91" w:rsidRPr="005B6219" w:rsidRDefault="00927E91" w:rsidP="005B6219">
            <w:pPr>
              <w:pStyle w:val="other"/>
              <w:numPr>
                <w:ilvl w:val="0"/>
                <w:numId w:val="25"/>
              </w:numPr>
              <w:rPr>
                <w:sz w:val="26"/>
                <w:szCs w:val="26"/>
              </w:rPr>
            </w:pPr>
            <w:r w:rsidRPr="005B6219">
              <w:rPr>
                <w:sz w:val="26"/>
                <w:szCs w:val="26"/>
              </w:rPr>
              <w:t>emission of noise, artificial light, vibration, smell, fumes, smoke, vapour, steam, soot, ash, dust, waste</w:t>
            </w:r>
            <w:r w:rsidR="00D8792C">
              <w:rPr>
                <w:sz w:val="26"/>
                <w:szCs w:val="26"/>
              </w:rPr>
              <w:t xml:space="preserve"> </w:t>
            </w:r>
            <w:r w:rsidRPr="005B6219">
              <w:rPr>
                <w:sz w:val="26"/>
                <w:szCs w:val="26"/>
              </w:rPr>
              <w:t>water, waste products, grit or oil;</w:t>
            </w:r>
          </w:p>
          <w:p w:rsidR="00927E91" w:rsidRPr="005B6219" w:rsidRDefault="00927E91" w:rsidP="005B6219">
            <w:pPr>
              <w:pStyle w:val="other"/>
              <w:numPr>
                <w:ilvl w:val="0"/>
                <w:numId w:val="25"/>
              </w:numPr>
              <w:rPr>
                <w:sz w:val="26"/>
                <w:szCs w:val="26"/>
              </w:rPr>
            </w:pPr>
            <w:r w:rsidRPr="005B6219">
              <w:rPr>
                <w:sz w:val="26"/>
                <w:szCs w:val="26"/>
              </w:rPr>
              <w:lastRenderedPageBreak/>
              <w:t>presence of vermin.</w:t>
            </w:r>
          </w:p>
          <w:p w:rsidR="00927E91" w:rsidRPr="005B6219" w:rsidRDefault="00927E91" w:rsidP="005B6219">
            <w:pPr>
              <w:pStyle w:val="other"/>
              <w:ind w:left="567"/>
              <w:rPr>
                <w:sz w:val="26"/>
                <w:szCs w:val="26"/>
              </w:rPr>
            </w:pPr>
          </w:p>
        </w:tc>
      </w:tr>
      <w:tr w:rsidR="00927E91" w:rsidRPr="005B6219" w:rsidTr="00C541E4">
        <w:tc>
          <w:tcPr>
            <w:tcW w:w="646" w:type="dxa"/>
          </w:tcPr>
          <w:p w:rsidR="00927E91" w:rsidRPr="005B6219" w:rsidRDefault="00B4364E" w:rsidP="005B6219">
            <w:pPr>
              <w:rPr>
                <w:rFonts w:eastAsia="Calibri"/>
                <w:lang w:val="en-US" w:eastAsia="en-AU"/>
              </w:rPr>
            </w:pPr>
            <w:r>
              <w:rPr>
                <w:rFonts w:eastAsia="Calibri"/>
                <w:lang w:val="en-US" w:eastAsia="en-AU"/>
              </w:rPr>
              <w:lastRenderedPageBreak/>
              <w:t>9</w:t>
            </w:r>
            <w:r w:rsidR="00927E91" w:rsidRPr="005B6219">
              <w:rPr>
                <w:rFonts w:eastAsia="Calibri"/>
                <w:lang w:val="en-US" w:eastAsia="en-AU"/>
              </w:rPr>
              <w:t>.</w:t>
            </w:r>
          </w:p>
        </w:tc>
        <w:tc>
          <w:tcPr>
            <w:tcW w:w="7292" w:type="dxa"/>
          </w:tcPr>
          <w:p w:rsidR="00927E91" w:rsidRPr="005B6219" w:rsidRDefault="00927E91" w:rsidP="005B6219">
            <w:pPr>
              <w:rPr>
                <w:rFonts w:eastAsia="Calibri"/>
                <w:lang w:val="en-US" w:eastAsia="en-AU"/>
              </w:rPr>
            </w:pPr>
            <w:r w:rsidRPr="005B6219">
              <w:rPr>
                <w:rFonts w:eastAsia="Calibri"/>
                <w:lang w:val="en-US" w:eastAsia="en-AU"/>
              </w:rPr>
              <w:t>Prior to the commencement of works on the site, the owner shall prepare a Waste Management Plan for the collection and disposal of garbage and recyclables for all uses on the site.  The Waste Management Plan shall provide for:</w:t>
            </w:r>
          </w:p>
          <w:p w:rsidR="00927E91" w:rsidRPr="005B6219" w:rsidRDefault="00927E91" w:rsidP="005B6219">
            <w:pPr>
              <w:numPr>
                <w:ilvl w:val="0"/>
                <w:numId w:val="15"/>
              </w:numPr>
              <w:spacing w:before="120"/>
              <w:rPr>
                <w:rFonts w:eastAsia="Calibri"/>
                <w:lang w:val="en-US" w:eastAsia="en-AU"/>
              </w:rPr>
            </w:pPr>
            <w:r w:rsidRPr="005B6219">
              <w:rPr>
                <w:rFonts w:eastAsia="Calibri"/>
                <w:lang w:val="en-US" w:eastAsia="en-AU"/>
              </w:rPr>
              <w:t>The method of collection of garbage and recyclables for uses;</w:t>
            </w:r>
          </w:p>
          <w:p w:rsidR="00927E91" w:rsidRPr="005B6219" w:rsidRDefault="00927E91" w:rsidP="005B6219">
            <w:pPr>
              <w:numPr>
                <w:ilvl w:val="0"/>
                <w:numId w:val="15"/>
              </w:numPr>
              <w:spacing w:before="120"/>
              <w:rPr>
                <w:rFonts w:eastAsia="Calibri"/>
                <w:lang w:val="en-US" w:eastAsia="en-AU"/>
              </w:rPr>
            </w:pPr>
            <w:r w:rsidRPr="005B6219">
              <w:rPr>
                <w:rFonts w:eastAsia="Calibri"/>
                <w:lang w:val="en-US" w:eastAsia="en-AU"/>
              </w:rPr>
              <w:t>Designation of methods of collection including the need to provide for private services or utilisation of council services;</w:t>
            </w:r>
          </w:p>
          <w:p w:rsidR="00927E91" w:rsidRPr="005B6219" w:rsidRDefault="00927E91" w:rsidP="005B6219">
            <w:pPr>
              <w:numPr>
                <w:ilvl w:val="0"/>
                <w:numId w:val="15"/>
              </w:numPr>
              <w:spacing w:before="120"/>
              <w:rPr>
                <w:rFonts w:eastAsia="Calibri"/>
                <w:lang w:val="en-US" w:eastAsia="en-AU"/>
              </w:rPr>
            </w:pPr>
            <w:r w:rsidRPr="005B6219">
              <w:rPr>
                <w:rFonts w:eastAsia="Calibri"/>
                <w:lang w:val="en-US" w:eastAsia="en-AU"/>
              </w:rPr>
              <w:t>Appropriate areas of bin storage on site and areas for bin storage on collection days;</w:t>
            </w:r>
          </w:p>
          <w:p w:rsidR="00927E91" w:rsidRPr="005B6219" w:rsidRDefault="00927E91" w:rsidP="005B6219">
            <w:pPr>
              <w:numPr>
                <w:ilvl w:val="0"/>
                <w:numId w:val="15"/>
              </w:numPr>
              <w:spacing w:before="120"/>
              <w:rPr>
                <w:rFonts w:eastAsia="Calibri"/>
                <w:lang w:val="en-US" w:eastAsia="en-AU"/>
              </w:rPr>
            </w:pPr>
            <w:r w:rsidRPr="005B6219">
              <w:rPr>
                <w:rFonts w:eastAsia="Calibri"/>
                <w:lang w:val="en-US" w:eastAsia="en-AU"/>
              </w:rPr>
              <w:t>Measures to minimise the impact upon local amenity and on the operation, management and maintenance of car parking areas;</w:t>
            </w:r>
          </w:p>
          <w:p w:rsidR="00927E91" w:rsidRPr="005B6219" w:rsidRDefault="00927E91" w:rsidP="005B6219">
            <w:pPr>
              <w:numPr>
                <w:ilvl w:val="0"/>
                <w:numId w:val="15"/>
              </w:numPr>
              <w:spacing w:before="120"/>
              <w:rPr>
                <w:rFonts w:eastAsia="Calibri"/>
                <w:lang w:val="en-US" w:eastAsia="en-AU"/>
              </w:rPr>
            </w:pPr>
            <w:r w:rsidRPr="005B6219">
              <w:rPr>
                <w:rFonts w:eastAsia="Calibri"/>
                <w:lang w:val="en-US" w:eastAsia="en-AU"/>
              </w:rPr>
              <w:t>Litter management.</w:t>
            </w:r>
          </w:p>
          <w:p w:rsidR="00927E91" w:rsidRPr="005B6219" w:rsidRDefault="00927E91" w:rsidP="005B6219">
            <w:pPr>
              <w:rPr>
                <w:rFonts w:eastAsia="Calibri"/>
                <w:lang w:val="en-US" w:eastAsia="en-AU"/>
              </w:rPr>
            </w:pPr>
          </w:p>
          <w:p w:rsidR="00927E91" w:rsidRPr="005B6219" w:rsidRDefault="00927E91" w:rsidP="005B6219">
            <w:pPr>
              <w:rPr>
                <w:rFonts w:eastAsia="Calibri"/>
                <w:lang w:val="en-US" w:eastAsia="en-AU"/>
              </w:rPr>
            </w:pPr>
            <w:r w:rsidRPr="005B6219">
              <w:rPr>
                <w:rFonts w:eastAsia="Calibri"/>
                <w:lang w:val="en-US" w:eastAsia="en-AU"/>
              </w:rPr>
              <w:t xml:space="preserve">A copy of this plan must be submitted to </w:t>
            </w:r>
            <w:r w:rsidR="00B4364E">
              <w:rPr>
                <w:rFonts w:eastAsia="Calibri"/>
                <w:lang w:val="en-US" w:eastAsia="en-AU"/>
              </w:rPr>
              <w:t>and approved by the Responsible Authority</w:t>
            </w:r>
            <w:r w:rsidRPr="005B6219">
              <w:rPr>
                <w:rFonts w:eastAsia="Calibri"/>
                <w:lang w:val="en-US" w:eastAsia="en-AU"/>
              </w:rPr>
              <w:t>.</w:t>
            </w:r>
          </w:p>
          <w:p w:rsidR="00927E91" w:rsidRPr="005B6219" w:rsidRDefault="00927E91" w:rsidP="005B6219">
            <w:pPr>
              <w:rPr>
                <w:rFonts w:eastAsia="Calibri"/>
                <w:lang w:val="en-US" w:eastAsia="en-AU"/>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0</w:t>
            </w:r>
            <w:r w:rsidRPr="005B6219">
              <w:rPr>
                <w:rFonts w:eastAsia="Calibri"/>
                <w:lang w:val="en-US" w:eastAsia="en-AU"/>
              </w:rPr>
              <w:t>.</w:t>
            </w:r>
          </w:p>
        </w:tc>
        <w:tc>
          <w:tcPr>
            <w:tcW w:w="7292" w:type="dxa"/>
          </w:tcPr>
          <w:p w:rsidR="00927E91" w:rsidRPr="005B6219" w:rsidRDefault="00927E91" w:rsidP="005B6219">
            <w:pPr>
              <w:pStyle w:val="other"/>
              <w:rPr>
                <w:sz w:val="26"/>
                <w:szCs w:val="26"/>
              </w:rPr>
            </w:pPr>
            <w:r w:rsidRPr="005B6219">
              <w:rPr>
                <w:sz w:val="26"/>
                <w:szCs w:val="26"/>
              </w:rPr>
              <w:t>No bin or receptacle or any form of rubbish or refuse shall be allowed to remain in view of the public and no odour shall be emitted from any receptacle so as to cause offence to persons outside the land.</w:t>
            </w:r>
          </w:p>
          <w:p w:rsidR="00927E91" w:rsidRPr="005B6219" w:rsidRDefault="00927E91" w:rsidP="005B6219">
            <w:pPr>
              <w:rPr>
                <w:rFonts w:eastAsia="Calibri"/>
                <w:lang w:val="en-US" w:eastAsia="en-AU"/>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1</w:t>
            </w:r>
            <w:r w:rsidRPr="005B6219">
              <w:rPr>
                <w:rFonts w:eastAsia="Calibri"/>
                <w:lang w:val="en-US" w:eastAsia="en-AU"/>
              </w:rPr>
              <w:t>.</w:t>
            </w:r>
          </w:p>
        </w:tc>
        <w:tc>
          <w:tcPr>
            <w:tcW w:w="7292" w:type="dxa"/>
          </w:tcPr>
          <w:p w:rsidR="00927E91" w:rsidRPr="005B6219" w:rsidRDefault="00927E91" w:rsidP="005B6219">
            <w:pPr>
              <w:pStyle w:val="other"/>
              <w:rPr>
                <w:sz w:val="26"/>
                <w:szCs w:val="26"/>
              </w:rPr>
            </w:pPr>
            <w:r w:rsidRPr="005B6219">
              <w:rPr>
                <w:sz w:val="26"/>
                <w:szCs w:val="26"/>
              </w:rPr>
              <w:t>Adequate provision shall be made for the storage and collection of garbage and other solid wastes and these facilities are to be located on the site to the satisfaction of the Responsible Authority.</w:t>
            </w:r>
          </w:p>
          <w:p w:rsidR="00927E91" w:rsidRPr="005B6219" w:rsidRDefault="00927E91" w:rsidP="005B6219">
            <w:pPr>
              <w:pStyle w:val="other"/>
              <w:rPr>
                <w:sz w:val="26"/>
                <w:szCs w:val="26"/>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2</w:t>
            </w:r>
            <w:r w:rsidRPr="005B6219">
              <w:rPr>
                <w:rFonts w:eastAsia="Calibri"/>
                <w:lang w:val="en-US" w:eastAsia="en-AU"/>
              </w:rPr>
              <w:t>.</w:t>
            </w:r>
          </w:p>
        </w:tc>
        <w:tc>
          <w:tcPr>
            <w:tcW w:w="7292" w:type="dxa"/>
          </w:tcPr>
          <w:p w:rsidR="00927E91" w:rsidRPr="005B6219" w:rsidRDefault="006A30ED" w:rsidP="005B6219">
            <w:r>
              <w:rPr>
                <w:noProof/>
              </w:rPr>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7E91" w:rsidRPr="005B6219">
              <w:t>Before the development starts, a construction management plan must be prepared and submitted to the Responsible Authority for approval.  The plan must be to the satisfaction of the Responsible Authority.  Once approved, the plan must be implemented to the satisfaction of the Responsible Authority.  The plan must address the following issues:</w:t>
            </w:r>
          </w:p>
          <w:p w:rsidR="00927E91" w:rsidRPr="005B6219" w:rsidRDefault="00927E91" w:rsidP="005B6219">
            <w:pPr>
              <w:numPr>
                <w:ilvl w:val="0"/>
                <w:numId w:val="27"/>
              </w:numPr>
              <w:spacing w:before="120"/>
              <w:ind w:left="567" w:hanging="567"/>
            </w:pPr>
            <w:r w:rsidRPr="005B6219">
              <w:t>measures to control noise, dust and water runoff;</w:t>
            </w:r>
          </w:p>
          <w:p w:rsidR="00927E91" w:rsidRPr="005B6219" w:rsidRDefault="00927E91" w:rsidP="005B6219">
            <w:pPr>
              <w:numPr>
                <w:ilvl w:val="0"/>
                <w:numId w:val="27"/>
              </w:numPr>
              <w:spacing w:before="120"/>
              <w:ind w:left="567" w:hanging="567"/>
            </w:pPr>
            <w:r w:rsidRPr="005B6219">
              <w:t>prevention of silt or other pollutants from entering into the Council’s underground drainage system or road network;</w:t>
            </w:r>
          </w:p>
          <w:p w:rsidR="00927E91" w:rsidRPr="005B6219" w:rsidRDefault="00927E91" w:rsidP="005B6219">
            <w:pPr>
              <w:numPr>
                <w:ilvl w:val="0"/>
                <w:numId w:val="27"/>
              </w:numPr>
              <w:spacing w:before="120"/>
              <w:ind w:left="567" w:hanging="567"/>
            </w:pPr>
            <w:r w:rsidRPr="005B6219">
              <w:t>the location of where building materials are to be kept during construction;</w:t>
            </w:r>
          </w:p>
          <w:p w:rsidR="00927E91" w:rsidRPr="005B6219" w:rsidRDefault="00927E91" w:rsidP="005B6219">
            <w:pPr>
              <w:numPr>
                <w:ilvl w:val="0"/>
                <w:numId w:val="27"/>
              </w:numPr>
              <w:spacing w:before="120"/>
              <w:ind w:left="567" w:hanging="567"/>
            </w:pPr>
            <w:r w:rsidRPr="005B6219">
              <w:t>site security;</w:t>
            </w:r>
          </w:p>
          <w:p w:rsidR="00927E91" w:rsidRPr="005B6219" w:rsidRDefault="00927E91" w:rsidP="005B6219">
            <w:pPr>
              <w:numPr>
                <w:ilvl w:val="0"/>
                <w:numId w:val="27"/>
              </w:numPr>
              <w:spacing w:before="120"/>
              <w:ind w:left="567" w:hanging="567"/>
            </w:pPr>
            <w:r w:rsidRPr="005B6219">
              <w:t>maintenance of safe movements of vehicles to and from the site during the construction phase;</w:t>
            </w:r>
          </w:p>
          <w:p w:rsidR="00927E91" w:rsidRPr="005B6219" w:rsidRDefault="00927E91" w:rsidP="005B6219">
            <w:pPr>
              <w:numPr>
                <w:ilvl w:val="0"/>
                <w:numId w:val="27"/>
              </w:numPr>
              <w:spacing w:before="120"/>
              <w:ind w:left="567" w:hanging="567"/>
            </w:pPr>
            <w:r w:rsidRPr="005B6219">
              <w:lastRenderedPageBreak/>
              <w:t>on-site parking of vehicles associated with construction of the development;</w:t>
            </w:r>
          </w:p>
          <w:p w:rsidR="00927E91" w:rsidRPr="005B6219" w:rsidRDefault="00927E91" w:rsidP="005B6219">
            <w:pPr>
              <w:numPr>
                <w:ilvl w:val="0"/>
                <w:numId w:val="27"/>
              </w:numPr>
              <w:spacing w:before="120"/>
              <w:ind w:left="567" w:hanging="567"/>
            </w:pPr>
            <w:r w:rsidRPr="005B6219">
              <w:t>wash down areas for trucks and vehicles associated with construction activities;</w:t>
            </w:r>
          </w:p>
          <w:p w:rsidR="00927E91" w:rsidRPr="005B6219" w:rsidRDefault="00927E91" w:rsidP="005B6219">
            <w:pPr>
              <w:numPr>
                <w:ilvl w:val="0"/>
                <w:numId w:val="27"/>
              </w:numPr>
              <w:spacing w:before="120"/>
              <w:ind w:left="567" w:hanging="567"/>
            </w:pPr>
            <w:r w:rsidRPr="005B6219">
              <w:t>cleaning and maintaining surrounding road surfaces;</w:t>
            </w:r>
          </w:p>
          <w:p w:rsidR="00927E91" w:rsidRPr="005B6219" w:rsidRDefault="00927E91" w:rsidP="005B6219">
            <w:pPr>
              <w:numPr>
                <w:ilvl w:val="0"/>
                <w:numId w:val="27"/>
              </w:numPr>
              <w:spacing w:before="120"/>
              <w:ind w:left="567" w:hanging="567"/>
            </w:pPr>
            <w:r w:rsidRPr="005B6219">
              <w:t>a requirement that construction works must only be carried out during the following hours:</w:t>
            </w:r>
          </w:p>
          <w:p w:rsidR="00927E91" w:rsidRPr="005B6219" w:rsidRDefault="00927E91" w:rsidP="005B6219">
            <w:pPr>
              <w:numPr>
                <w:ilvl w:val="0"/>
                <w:numId w:val="28"/>
              </w:numPr>
              <w:tabs>
                <w:tab w:val="left" w:pos="1134"/>
              </w:tabs>
              <w:spacing w:before="120"/>
              <w:ind w:left="1134" w:hanging="567"/>
            </w:pPr>
            <w:r w:rsidRPr="005B6219">
              <w:t>Monday to Friday (inclusive) – 7.00am to 6.00pm;</w:t>
            </w:r>
          </w:p>
          <w:p w:rsidR="00927E91" w:rsidRPr="005B6219" w:rsidRDefault="00927E91" w:rsidP="005B6219">
            <w:pPr>
              <w:numPr>
                <w:ilvl w:val="0"/>
                <w:numId w:val="28"/>
              </w:numPr>
              <w:tabs>
                <w:tab w:val="left" w:pos="1134"/>
              </w:tabs>
              <w:spacing w:before="120"/>
              <w:ind w:left="1134" w:hanging="567"/>
            </w:pPr>
            <w:r w:rsidRPr="005B6219">
              <w:t>Saturday – 9.00am to 1.00pm;</w:t>
            </w:r>
          </w:p>
          <w:p w:rsidR="00927E91" w:rsidRPr="005B6219" w:rsidRDefault="00927E91" w:rsidP="005B6219">
            <w:pPr>
              <w:numPr>
                <w:ilvl w:val="0"/>
                <w:numId w:val="28"/>
              </w:numPr>
              <w:tabs>
                <w:tab w:val="left" w:pos="1134"/>
              </w:tabs>
              <w:spacing w:before="120"/>
              <w:ind w:left="1134" w:hanging="567"/>
            </w:pPr>
            <w:r w:rsidRPr="005B6219">
              <w:t>Saturday – 1.00pm to 5.00pm  (Only activities associated with the erection of buildings.  This does not include excavation or the use of heavy machinery.)</w:t>
            </w:r>
          </w:p>
          <w:p w:rsidR="00927E91" w:rsidRPr="005B6219" w:rsidRDefault="00927E91" w:rsidP="005B6219">
            <w:pPr>
              <w:pStyle w:val="other"/>
              <w:rPr>
                <w:sz w:val="26"/>
                <w:szCs w:val="26"/>
              </w:rPr>
            </w:pPr>
          </w:p>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lastRenderedPageBreak/>
              <w:t>1</w:t>
            </w:r>
            <w:r w:rsidR="00B4364E">
              <w:rPr>
                <w:rFonts w:eastAsia="Calibri"/>
                <w:lang w:val="en-US" w:eastAsia="en-AU"/>
              </w:rPr>
              <w:t>3</w:t>
            </w:r>
            <w:r w:rsidRPr="005B6219">
              <w:rPr>
                <w:rFonts w:eastAsia="Calibri"/>
                <w:lang w:val="en-US" w:eastAsia="en-AU"/>
              </w:rPr>
              <w:t>.</w:t>
            </w:r>
          </w:p>
        </w:tc>
        <w:tc>
          <w:tcPr>
            <w:tcW w:w="7292" w:type="dxa"/>
          </w:tcPr>
          <w:p w:rsidR="00927E91" w:rsidRPr="005B6219" w:rsidRDefault="00927E91" w:rsidP="005B6219">
            <w:pPr>
              <w:pStyle w:val="other"/>
              <w:rPr>
                <w:sz w:val="26"/>
                <w:szCs w:val="26"/>
                <w:lang w:eastAsia="en-AU"/>
              </w:rPr>
            </w:pPr>
            <w:r w:rsidRPr="005B6219">
              <w:rPr>
                <w:sz w:val="26"/>
                <w:szCs w:val="26"/>
                <w:lang w:eastAsia="en-AU"/>
              </w:rPr>
              <w:t>The construction works associated with the permitted development must only be carried out during the following hours:</w:t>
            </w:r>
          </w:p>
          <w:p w:rsidR="00927E91" w:rsidRPr="005B6219" w:rsidRDefault="00927E91" w:rsidP="005B6219">
            <w:pPr>
              <w:pStyle w:val="other"/>
              <w:rPr>
                <w:sz w:val="26"/>
                <w:szCs w:val="26"/>
                <w:lang w:eastAsia="en-AU"/>
              </w:rPr>
            </w:pPr>
          </w:p>
          <w:p w:rsidR="00927E91" w:rsidRPr="005B6219" w:rsidRDefault="00927E91" w:rsidP="005B6219">
            <w:pPr>
              <w:numPr>
                <w:ilvl w:val="0"/>
                <w:numId w:val="21"/>
              </w:numPr>
              <w:rPr>
                <w:rFonts w:eastAsia="Calibri"/>
                <w:lang w:eastAsia="en-AU"/>
              </w:rPr>
            </w:pPr>
            <w:r w:rsidRPr="005B6219">
              <w:rPr>
                <w:rFonts w:eastAsia="Calibri"/>
                <w:lang w:eastAsia="en-AU"/>
              </w:rPr>
              <w:t>Monday to Friday (inclusive) – 7:00am to 6pm;</w:t>
            </w:r>
          </w:p>
          <w:p w:rsidR="00927E91" w:rsidRPr="005B6219" w:rsidRDefault="00927E91" w:rsidP="005B6219">
            <w:pPr>
              <w:numPr>
                <w:ilvl w:val="0"/>
                <w:numId w:val="21"/>
              </w:numPr>
              <w:rPr>
                <w:rFonts w:eastAsia="Calibri"/>
                <w:lang w:eastAsia="en-AU"/>
              </w:rPr>
            </w:pPr>
            <w:r w:rsidRPr="005B6219">
              <w:rPr>
                <w:rFonts w:eastAsia="Calibri"/>
                <w:lang w:eastAsia="en-AU"/>
              </w:rPr>
              <w:t>Saturday – 9am to 1pm;</w:t>
            </w:r>
          </w:p>
          <w:p w:rsidR="00927E91" w:rsidRPr="005B6219" w:rsidRDefault="00927E91" w:rsidP="005B6219">
            <w:pPr>
              <w:numPr>
                <w:ilvl w:val="0"/>
                <w:numId w:val="21"/>
              </w:numPr>
              <w:rPr>
                <w:rFonts w:eastAsia="Calibri"/>
                <w:lang w:eastAsia="en-AU"/>
              </w:rPr>
            </w:pPr>
            <w:r w:rsidRPr="005B6219">
              <w:rPr>
                <w:rFonts w:eastAsia="Calibri"/>
                <w:lang w:eastAsia="en-AU"/>
              </w:rPr>
              <w:t>Saturday – 1pm to 5pm (only activities associated with the erection of buildings);</w:t>
            </w:r>
          </w:p>
          <w:p w:rsidR="00927E91" w:rsidRPr="005B6219" w:rsidRDefault="00927E91" w:rsidP="005B6219">
            <w:pPr>
              <w:ind w:left="567"/>
              <w:rPr>
                <w:rFonts w:eastAsia="Calibri"/>
                <w:lang w:eastAsia="en-AU"/>
              </w:rPr>
            </w:pPr>
          </w:p>
          <w:p w:rsidR="00927E91" w:rsidRPr="005B6219" w:rsidRDefault="00927E91" w:rsidP="005B6219">
            <w:pPr>
              <w:ind w:left="567" w:hanging="567"/>
              <w:rPr>
                <w:lang w:eastAsia="en-AU"/>
              </w:rPr>
            </w:pPr>
            <w:r w:rsidRPr="005B6219">
              <w:rPr>
                <w:rFonts w:eastAsia="Calibri"/>
                <w:lang w:eastAsia="en-AU"/>
              </w:rPr>
              <w:t>unless otherwise approved in writing by the Responsible Authority.</w:t>
            </w:r>
          </w:p>
          <w:p w:rsidR="00927E91" w:rsidRPr="005B6219" w:rsidRDefault="00927E91" w:rsidP="005B6219">
            <w:pPr>
              <w:ind w:left="567" w:hanging="567"/>
              <w:rPr>
                <w:rFonts w:eastAsia="Calibri"/>
                <w:lang w:eastAsia="en-AU"/>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4</w:t>
            </w:r>
            <w:r w:rsidRPr="005B6219">
              <w:rPr>
                <w:rFonts w:eastAsia="Calibri"/>
                <w:lang w:val="en-US" w:eastAsia="en-AU"/>
              </w:rPr>
              <w:t>.</w:t>
            </w:r>
          </w:p>
        </w:tc>
        <w:tc>
          <w:tcPr>
            <w:tcW w:w="7292" w:type="dxa"/>
          </w:tcPr>
          <w:p w:rsidR="00927E91" w:rsidRPr="005B6219" w:rsidRDefault="006A30ED" w:rsidP="005B6219">
            <w:pPr>
              <w:pStyle w:val="BodyText"/>
              <w:spacing w:after="0"/>
              <w:rPr>
                <w:lang w:val="en-US"/>
              </w:rPr>
            </w:pPr>
            <w:r>
              <w:rPr>
                <w:noProof/>
                <w:lang w:val="en-US"/>
              </w:rPr>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7E91" w:rsidRPr="005B6219">
              <w:rPr>
                <w:lang w:val="en-US"/>
              </w:rPr>
              <w:t>Prior to the endorsement of plans referred to in Condition 1 the owner of the land must enter into an agreement with the Responsible Authority under Section 173 of the Planning and Environment Act 1987.</w:t>
            </w:r>
            <w:r w:rsidR="00B4364E">
              <w:rPr>
                <w:lang w:val="en-US"/>
              </w:rPr>
              <w:t xml:space="preserve"> </w:t>
            </w:r>
            <w:r w:rsidR="00927E91" w:rsidRPr="005B6219">
              <w:rPr>
                <w:lang w:val="en-US"/>
              </w:rPr>
              <w:t xml:space="preserve"> In addition to the usual mechanical provisions, the agreement must provide for the following matters:</w:t>
            </w:r>
          </w:p>
          <w:p w:rsidR="00927E91" w:rsidRPr="005B6219" w:rsidRDefault="00927E91" w:rsidP="005B6219">
            <w:pPr>
              <w:pStyle w:val="BodyText"/>
              <w:numPr>
                <w:ilvl w:val="1"/>
                <w:numId w:val="29"/>
              </w:numPr>
              <w:spacing w:before="40" w:after="0"/>
              <w:ind w:left="992" w:hanging="425"/>
              <w:rPr>
                <w:lang w:val="en-US"/>
              </w:rPr>
            </w:pPr>
            <w:r w:rsidRPr="005B6219">
              <w:rPr>
                <w:lang w:val="en-US"/>
              </w:rPr>
              <w:t>That no person may reside in the building unless that person is a bona fide student or academic whether part time, full time, short term or resides there in a supervisory, management or caretaker capacity;</w:t>
            </w:r>
          </w:p>
          <w:p w:rsidR="00927E91" w:rsidRPr="005B6219" w:rsidRDefault="00927E91" w:rsidP="005B6219">
            <w:pPr>
              <w:pStyle w:val="BodyText"/>
              <w:numPr>
                <w:ilvl w:val="1"/>
                <w:numId w:val="29"/>
              </w:numPr>
              <w:spacing w:before="40" w:after="0"/>
              <w:ind w:left="992" w:hanging="425"/>
              <w:rPr>
                <w:lang w:val="en-US"/>
              </w:rPr>
            </w:pPr>
            <w:r w:rsidRPr="005B6219">
              <w:rPr>
                <w:lang w:val="en-US"/>
              </w:rPr>
              <w:t>Car parking spaces are only permitted to be used by the occupants of the units and their visitors.</w:t>
            </w:r>
          </w:p>
          <w:p w:rsidR="00927E91" w:rsidRPr="005B6219" w:rsidRDefault="00927E91" w:rsidP="005B6219">
            <w:pPr>
              <w:pStyle w:val="BodyText"/>
              <w:numPr>
                <w:ilvl w:val="1"/>
                <w:numId w:val="29"/>
              </w:numPr>
              <w:spacing w:before="40" w:after="0"/>
              <w:ind w:left="992" w:hanging="425"/>
              <w:rPr>
                <w:lang w:val="en-US"/>
              </w:rPr>
            </w:pPr>
            <w:r w:rsidRPr="005B6219">
              <w:rPr>
                <w:lang w:val="en-US"/>
              </w:rPr>
              <w:t>Car spaces must not be individually subdivided, on-sold or leased to any other person other than an owner or occupant of the premises.</w:t>
            </w:r>
          </w:p>
          <w:p w:rsidR="00927E91" w:rsidRPr="005B6219" w:rsidRDefault="00927E91" w:rsidP="005B6219">
            <w:pPr>
              <w:pStyle w:val="BodyText"/>
              <w:numPr>
                <w:ilvl w:val="1"/>
                <w:numId w:val="29"/>
              </w:numPr>
              <w:spacing w:before="40" w:after="0"/>
              <w:ind w:left="992" w:hanging="425"/>
              <w:rPr>
                <w:lang w:val="en-US"/>
              </w:rPr>
            </w:pPr>
            <w:r w:rsidRPr="005B6219">
              <w:t xml:space="preserve">Residents of the units will be entitled to </w:t>
            </w:r>
            <w:r w:rsidR="00B4364E">
              <w:t xml:space="preserve">no more than two </w:t>
            </w:r>
            <w:r w:rsidRPr="005B6219">
              <w:t xml:space="preserve">car parking permits for on street car parking. </w:t>
            </w:r>
          </w:p>
          <w:p w:rsidR="00927E91" w:rsidRPr="005B6219" w:rsidRDefault="00927E91" w:rsidP="005B6219">
            <w:pPr>
              <w:pStyle w:val="BodyText"/>
              <w:numPr>
                <w:ilvl w:val="1"/>
                <w:numId w:val="29"/>
              </w:numPr>
              <w:spacing w:before="40" w:after="0"/>
              <w:ind w:left="992" w:hanging="425"/>
              <w:rPr>
                <w:lang w:val="en-US"/>
              </w:rPr>
            </w:pPr>
            <w:r w:rsidRPr="005B6219">
              <w:rPr>
                <w:lang w:val="en-US"/>
              </w:rPr>
              <w:t>Should the land cease to be used for student housing, a new planning permit may be required for an alternative use.</w:t>
            </w:r>
            <w:r w:rsidR="00B4364E">
              <w:rPr>
                <w:lang w:val="en-US"/>
              </w:rPr>
              <w:t xml:space="preserve"> </w:t>
            </w:r>
            <w:r w:rsidRPr="005B6219">
              <w:rPr>
                <w:lang w:val="en-US"/>
              </w:rPr>
              <w:t xml:space="preserve"> </w:t>
            </w:r>
          </w:p>
          <w:p w:rsidR="00927E91" w:rsidRPr="005B6219" w:rsidRDefault="00927E91" w:rsidP="005B6219">
            <w:pPr>
              <w:pStyle w:val="BodyText"/>
              <w:numPr>
                <w:ilvl w:val="1"/>
                <w:numId w:val="29"/>
              </w:numPr>
              <w:spacing w:before="40" w:after="0"/>
              <w:ind w:left="992" w:hanging="425"/>
              <w:rPr>
                <w:lang w:val="en-US"/>
              </w:rPr>
            </w:pPr>
            <w:r w:rsidRPr="005B6219">
              <w:rPr>
                <w:lang w:val="en-US"/>
              </w:rPr>
              <w:lastRenderedPageBreak/>
              <w:t>The student accommodation premises must be managed by a single entity.</w:t>
            </w:r>
          </w:p>
          <w:p w:rsidR="00927E91" w:rsidRPr="005B6219" w:rsidRDefault="00927E91" w:rsidP="005B6219">
            <w:pPr>
              <w:pStyle w:val="BodyText"/>
              <w:numPr>
                <w:ilvl w:val="1"/>
                <w:numId w:val="29"/>
              </w:numPr>
              <w:spacing w:before="40" w:after="0"/>
              <w:ind w:left="992" w:hanging="425"/>
              <w:rPr>
                <w:lang w:val="en-US"/>
              </w:rPr>
            </w:pPr>
            <w:r w:rsidRPr="005B6219">
              <w:rPr>
                <w:lang w:val="en-US"/>
              </w:rPr>
              <w:t>A</w:t>
            </w:r>
            <w:r w:rsidR="00B4364E">
              <w:rPr>
                <w:lang w:val="en-US"/>
              </w:rPr>
              <w:t xml:space="preserve">n operational </w:t>
            </w:r>
            <w:r w:rsidRPr="005B6219">
              <w:rPr>
                <w:lang w:val="en-US"/>
              </w:rPr>
              <w:t>management plan prepared and implemented to the satisfaction of the Responsible Authority.</w:t>
            </w:r>
          </w:p>
          <w:p w:rsidR="00927E91" w:rsidRPr="005B6219" w:rsidRDefault="00927E91" w:rsidP="005B6219">
            <w:pPr>
              <w:pStyle w:val="BodyText"/>
              <w:numPr>
                <w:ilvl w:val="1"/>
                <w:numId w:val="29"/>
              </w:numPr>
              <w:spacing w:before="40" w:after="0"/>
              <w:ind w:left="992" w:hanging="425"/>
              <w:rPr>
                <w:lang w:val="en-US"/>
              </w:rPr>
            </w:pPr>
            <w:r w:rsidRPr="005B6219">
              <w:rPr>
                <w:lang w:val="en-US"/>
              </w:rPr>
              <w:t>The cost of the preparation and review of the Section 173 Agreement and its registration on the title of the land must be borne by the owner of the land.</w:t>
            </w:r>
          </w:p>
          <w:p w:rsidR="00927E91" w:rsidRPr="005B6219" w:rsidRDefault="00927E91" w:rsidP="005B6219">
            <w:pPr>
              <w:pStyle w:val="other"/>
              <w:rPr>
                <w:sz w:val="26"/>
                <w:szCs w:val="26"/>
                <w:lang w:eastAsia="en-AU"/>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lastRenderedPageBreak/>
              <w:t>1</w:t>
            </w:r>
            <w:r w:rsidR="00B4364E">
              <w:rPr>
                <w:rFonts w:eastAsia="Calibri"/>
                <w:lang w:val="en-US" w:eastAsia="en-AU"/>
              </w:rPr>
              <w:t>5</w:t>
            </w:r>
            <w:r w:rsidRPr="005B6219">
              <w:rPr>
                <w:rFonts w:eastAsia="Calibri"/>
                <w:lang w:val="en-US" w:eastAsia="en-AU"/>
              </w:rPr>
              <w:t>.</w:t>
            </w:r>
          </w:p>
        </w:tc>
        <w:tc>
          <w:tcPr>
            <w:tcW w:w="7292" w:type="dxa"/>
          </w:tcPr>
          <w:p w:rsidR="00927E91" w:rsidRPr="005B6219" w:rsidRDefault="00927E91" w:rsidP="005B6219">
            <w:pPr>
              <w:pStyle w:val="BodyText"/>
              <w:spacing w:after="0"/>
            </w:pPr>
            <w:r w:rsidRPr="005B6219">
              <w:t>Prior to the commencement of the use an Operational Management Plan concerning the student accommodation prepared to the satisfaction of the Responsible Authority must be submitted and approved by the Responsible Authority.</w:t>
            </w:r>
            <w:r w:rsidR="00B4364E">
              <w:t xml:space="preserve"> </w:t>
            </w:r>
            <w:r w:rsidRPr="005B6219">
              <w:t xml:space="preserve"> The plan should detail but not be limited to:</w:t>
            </w:r>
          </w:p>
          <w:p w:rsidR="00927E91" w:rsidRPr="005B6219" w:rsidRDefault="00927E91" w:rsidP="005B6219">
            <w:pPr>
              <w:numPr>
                <w:ilvl w:val="0"/>
                <w:numId w:val="30"/>
              </w:numPr>
              <w:spacing w:before="80"/>
              <w:ind w:left="1137" w:hanging="567"/>
            </w:pPr>
            <w:r w:rsidRPr="005B6219">
              <w:t xml:space="preserve">Student accommodation units are to </w:t>
            </w:r>
            <w:r w:rsidR="00D8792C">
              <w:t xml:space="preserve">be </w:t>
            </w:r>
            <w:r w:rsidRPr="005B6219">
              <w:t>managed and remain under the control of a single operator responsible for the operation and maintenance of the entire premises.</w:t>
            </w:r>
          </w:p>
          <w:p w:rsidR="00927E91" w:rsidRPr="005B6219" w:rsidRDefault="00927E91" w:rsidP="005B6219">
            <w:pPr>
              <w:numPr>
                <w:ilvl w:val="0"/>
                <w:numId w:val="30"/>
              </w:numPr>
              <w:spacing w:before="80"/>
              <w:ind w:left="1137" w:hanging="567"/>
            </w:pPr>
            <w:r w:rsidRPr="005B6219">
              <w:rPr>
                <w:lang w:eastAsia="en-AU"/>
              </w:rPr>
              <w:t>The contact details of the management of the premises displayed in a manner and location that it is visible to any person entering the site. This information is to be updated as required immediately following any change to the nominated responsible contact person.</w:t>
            </w:r>
          </w:p>
          <w:p w:rsidR="00927E91" w:rsidRPr="005B6219" w:rsidRDefault="00927E91" w:rsidP="005B6219">
            <w:pPr>
              <w:numPr>
                <w:ilvl w:val="0"/>
                <w:numId w:val="30"/>
              </w:numPr>
              <w:spacing w:before="80"/>
              <w:ind w:left="1137" w:hanging="567"/>
              <w:rPr>
                <w:lang w:eastAsia="en-AU"/>
              </w:rPr>
            </w:pPr>
            <w:r w:rsidRPr="005B6219">
              <w:rPr>
                <w:lang w:eastAsia="en-AU"/>
              </w:rPr>
              <w:t>After hours contact details for management of the facility.</w:t>
            </w:r>
          </w:p>
          <w:p w:rsidR="00927E91" w:rsidRPr="005B6219" w:rsidRDefault="00927E91" w:rsidP="005B6219">
            <w:pPr>
              <w:numPr>
                <w:ilvl w:val="0"/>
                <w:numId w:val="30"/>
              </w:numPr>
              <w:spacing w:before="80"/>
              <w:ind w:left="1137" w:hanging="567"/>
              <w:rPr>
                <w:lang w:eastAsia="en-AU"/>
              </w:rPr>
            </w:pPr>
            <w:r w:rsidRPr="005B6219">
              <w:rPr>
                <w:lang w:eastAsia="en-AU"/>
              </w:rPr>
              <w:t>Management of the car park including access arrangements.</w:t>
            </w:r>
          </w:p>
          <w:p w:rsidR="00927E91" w:rsidRPr="005B6219" w:rsidRDefault="00927E91" w:rsidP="005B6219">
            <w:pPr>
              <w:numPr>
                <w:ilvl w:val="0"/>
                <w:numId w:val="30"/>
              </w:numPr>
              <w:spacing w:before="80"/>
              <w:ind w:left="1137" w:hanging="567"/>
            </w:pPr>
            <w:r w:rsidRPr="005B6219">
              <w:rPr>
                <w:lang w:eastAsia="en-AU"/>
              </w:rPr>
              <w:t>Maintenance of buildings and grounds, including all landscaped areas.</w:t>
            </w:r>
          </w:p>
          <w:p w:rsidR="00927E91" w:rsidRPr="005B6219" w:rsidRDefault="00927E91" w:rsidP="005B6219">
            <w:pPr>
              <w:pStyle w:val="BodyTextIndent2"/>
              <w:ind w:left="34"/>
              <w:rPr>
                <w:sz w:val="26"/>
                <w:szCs w:val="26"/>
              </w:rPr>
            </w:pPr>
          </w:p>
          <w:p w:rsidR="00927E91" w:rsidRPr="005B6219" w:rsidRDefault="00927E91" w:rsidP="00B4364E">
            <w:pPr>
              <w:pStyle w:val="BodyTextIndent2"/>
              <w:ind w:left="0" w:firstLine="0"/>
              <w:rPr>
                <w:sz w:val="26"/>
                <w:szCs w:val="26"/>
              </w:rPr>
            </w:pPr>
            <w:r w:rsidRPr="005B6219">
              <w:rPr>
                <w:sz w:val="26"/>
                <w:szCs w:val="26"/>
              </w:rPr>
              <w:t>Wh</w:t>
            </w:r>
            <w:r w:rsidR="00B4364E">
              <w:rPr>
                <w:sz w:val="26"/>
                <w:szCs w:val="26"/>
              </w:rPr>
              <w:t xml:space="preserve">en </w:t>
            </w:r>
            <w:r w:rsidRPr="005B6219">
              <w:rPr>
                <w:sz w:val="26"/>
                <w:szCs w:val="26"/>
              </w:rPr>
              <w:t>approved, the Operational Management Plan will be endorsed to form part of this permit and must be implemented to the satisfaction of the Responsible Authority.</w:t>
            </w:r>
          </w:p>
          <w:p w:rsidR="00927E91" w:rsidRPr="005B6219" w:rsidRDefault="00927E91" w:rsidP="005B6219">
            <w:pPr>
              <w:rPr>
                <w:rFonts w:eastAsia="Calibri"/>
                <w:noProof/>
              </w:rPr>
            </w:pPr>
          </w:p>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6</w:t>
            </w:r>
            <w:r w:rsidRPr="005B6219">
              <w:rPr>
                <w:rFonts w:eastAsia="Calibri"/>
                <w:lang w:val="en-US" w:eastAsia="en-AU"/>
              </w:rPr>
              <w:t>.</w:t>
            </w:r>
          </w:p>
        </w:tc>
        <w:tc>
          <w:tcPr>
            <w:tcW w:w="7292" w:type="dxa"/>
          </w:tcPr>
          <w:p w:rsidR="00927E91" w:rsidRPr="005B6219" w:rsidRDefault="00927E91" w:rsidP="005B6219">
            <w:pPr>
              <w:rPr>
                <w:noProof/>
              </w:rPr>
            </w:pPr>
            <w:r w:rsidRPr="005B6219">
              <w:rPr>
                <w:rFonts w:eastAsia="Calibri"/>
                <w:noProof/>
              </w:rPr>
              <w:t>The proposed vehicle crossing is to be constructed in accordance with the Monash City Council standards.</w:t>
            </w:r>
          </w:p>
          <w:p w:rsidR="00927E91" w:rsidRPr="005B6219" w:rsidRDefault="00927E91" w:rsidP="005B6219">
            <w:pPr>
              <w:rPr>
                <w:rFonts w:eastAsia="Calibri"/>
                <w:noProof/>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7</w:t>
            </w:r>
            <w:r w:rsidRPr="005B6219">
              <w:rPr>
                <w:rFonts w:eastAsia="Calibri"/>
                <w:lang w:val="en-US" w:eastAsia="en-AU"/>
              </w:rPr>
              <w:t>.</w:t>
            </w:r>
          </w:p>
        </w:tc>
        <w:tc>
          <w:tcPr>
            <w:tcW w:w="7292" w:type="dxa"/>
          </w:tcPr>
          <w:p w:rsidR="00927E91" w:rsidRPr="005B6219" w:rsidRDefault="00927E91" w:rsidP="005B6219">
            <w:pPr>
              <w:rPr>
                <w:rFonts w:eastAsia="Calibri"/>
                <w:lang w:val="en-US" w:eastAsia="en-AU"/>
              </w:rPr>
            </w:pPr>
            <w:r w:rsidRPr="005B6219">
              <w:rPr>
                <w:rFonts w:eastAsia="Calibri"/>
                <w:lang w:val="en-US" w:eastAsia="en-AU"/>
              </w:rPr>
              <w:t>The mechanical car stacker is to be maintained in a good working order and be permanently available for the parking of vehicles in accordance with their purpose, to the satisfaction of the Responsible Authority.</w:t>
            </w:r>
          </w:p>
          <w:p w:rsidR="00927E91" w:rsidRPr="005B6219" w:rsidRDefault="00927E91" w:rsidP="005B6219">
            <w:pPr>
              <w:rPr>
                <w:rFonts w:eastAsia="Calibri"/>
                <w:lang w:val="en-US" w:eastAsia="en-AU"/>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1</w:t>
            </w:r>
            <w:r w:rsidR="00B4364E">
              <w:rPr>
                <w:rFonts w:eastAsia="Calibri"/>
                <w:lang w:val="en-US" w:eastAsia="en-AU"/>
              </w:rPr>
              <w:t>8</w:t>
            </w:r>
            <w:r w:rsidRPr="005B6219">
              <w:rPr>
                <w:rFonts w:eastAsia="Calibri"/>
                <w:lang w:val="en-US" w:eastAsia="en-AU"/>
              </w:rPr>
              <w:t>.</w:t>
            </w:r>
          </w:p>
        </w:tc>
        <w:tc>
          <w:tcPr>
            <w:tcW w:w="7292" w:type="dxa"/>
          </w:tcPr>
          <w:p w:rsidR="00927E91" w:rsidRPr="005B6219" w:rsidRDefault="006A30ED" w:rsidP="005B6219">
            <w:pPr>
              <w:rPr>
                <w:rFonts w:eastAsia="Calibri"/>
                <w:lang w:val="en-US" w:eastAsia="en-AU"/>
              </w:rPr>
            </w:pPr>
            <w:r>
              <w:rPr>
                <w:rFonts w:eastAsia="Calibri"/>
                <w:noProof/>
                <w:lang w:val="en-US" w:eastAsia="en-AU"/>
              </w:rPr>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27E91" w:rsidRPr="005B6219">
              <w:rPr>
                <w:rFonts w:eastAsia="Calibri"/>
                <w:lang w:val="en-US" w:eastAsia="en-AU"/>
              </w:rPr>
              <w:t xml:space="preserve">No equipment, services, architectural features or structures of any kind, including telecommunication facilities, other than those shown on the endorsed plans shall be permitted above the roof level </w:t>
            </w:r>
            <w:r w:rsidR="00927E91" w:rsidRPr="005B6219">
              <w:rPr>
                <w:rFonts w:eastAsia="Calibri"/>
                <w:lang w:val="en-US" w:eastAsia="en-AU"/>
              </w:rPr>
              <w:lastRenderedPageBreak/>
              <w:t>of the building unless otherwise agreed to in writing by the Responsible Authority.</w:t>
            </w:r>
          </w:p>
          <w:p w:rsidR="00927E91" w:rsidRPr="005B6219" w:rsidRDefault="00927E91" w:rsidP="005B6219">
            <w:pPr>
              <w:rPr>
                <w:rFonts w:eastAsia="Calibri"/>
                <w:lang w:val="en-US" w:eastAsia="en-AU"/>
              </w:rPr>
            </w:pPr>
          </w:p>
        </w:tc>
      </w:tr>
      <w:tr w:rsidR="00927E91" w:rsidRPr="005B6219" w:rsidTr="00C541E4">
        <w:tc>
          <w:tcPr>
            <w:tcW w:w="646" w:type="dxa"/>
            <w:hideMark/>
          </w:tcPr>
          <w:p w:rsidR="00927E91" w:rsidRPr="005B6219" w:rsidRDefault="00B4364E" w:rsidP="005B6219">
            <w:pPr>
              <w:rPr>
                <w:rFonts w:eastAsia="Calibri"/>
                <w:lang w:val="en-US" w:eastAsia="en-AU"/>
              </w:rPr>
            </w:pPr>
            <w:r>
              <w:rPr>
                <w:rFonts w:eastAsia="Calibri"/>
                <w:lang w:val="en-US" w:eastAsia="en-AU"/>
              </w:rPr>
              <w:lastRenderedPageBreak/>
              <w:t>19</w:t>
            </w:r>
            <w:r w:rsidR="00927E91" w:rsidRPr="005B6219">
              <w:rPr>
                <w:rFonts w:eastAsia="Calibri"/>
                <w:lang w:val="en-US" w:eastAsia="en-AU"/>
              </w:rPr>
              <w:t>.</w:t>
            </w:r>
          </w:p>
        </w:tc>
        <w:tc>
          <w:tcPr>
            <w:tcW w:w="7292" w:type="dxa"/>
          </w:tcPr>
          <w:p w:rsidR="00927E91" w:rsidRPr="005B6219" w:rsidRDefault="00927E91" w:rsidP="005B6219">
            <w:pPr>
              <w:rPr>
                <w:rFonts w:eastAsia="Calibri"/>
                <w:noProof/>
              </w:rPr>
            </w:pPr>
            <w:r w:rsidRPr="005B6219">
              <w:rPr>
                <w:rFonts w:eastAsia="Calibri"/>
                <w:noProof/>
              </w:rPr>
              <w:t>All stormwater collected on the site from all hard surface areas must not be allowed to flow uncontrolled into adjoining properties or the road reserve.</w:t>
            </w:r>
          </w:p>
          <w:p w:rsidR="00927E91" w:rsidRPr="005B6219" w:rsidRDefault="00927E91" w:rsidP="005B6219"/>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2</w:t>
            </w:r>
            <w:r w:rsidR="00B4364E">
              <w:rPr>
                <w:rFonts w:eastAsia="Calibri"/>
                <w:lang w:val="en-US" w:eastAsia="en-AU"/>
              </w:rPr>
              <w:t>0</w:t>
            </w:r>
            <w:r w:rsidRPr="005B6219">
              <w:rPr>
                <w:rFonts w:eastAsia="Calibri"/>
                <w:lang w:val="en-US" w:eastAsia="en-AU"/>
              </w:rPr>
              <w:t>.</w:t>
            </w:r>
          </w:p>
        </w:tc>
        <w:tc>
          <w:tcPr>
            <w:tcW w:w="7292" w:type="dxa"/>
          </w:tcPr>
          <w:p w:rsidR="00927E91" w:rsidRPr="005B6219" w:rsidRDefault="00927E91" w:rsidP="005B6219">
            <w:pPr>
              <w:rPr>
                <w:rFonts w:eastAsia="Calibri"/>
                <w:noProof/>
              </w:rPr>
            </w:pPr>
            <w:r w:rsidRPr="005B6219">
              <w:rPr>
                <w:rFonts w:eastAsia="Calibri"/>
                <w:noProof/>
              </w:rPr>
              <w:t>The private on-site drainage system must prevent stormwater discharge from the/each driveway over the footpath and into the road reserve.  The internal drainage system may include either:</w:t>
            </w:r>
          </w:p>
          <w:p w:rsidR="00927E91" w:rsidRPr="005B6219" w:rsidRDefault="00927E91" w:rsidP="005B6219">
            <w:pPr>
              <w:pStyle w:val="ListParagraph"/>
              <w:numPr>
                <w:ilvl w:val="0"/>
                <w:numId w:val="26"/>
              </w:numPr>
              <w:rPr>
                <w:noProof/>
              </w:rPr>
            </w:pPr>
            <w:r w:rsidRPr="005B6219">
              <w:rPr>
                <w:noProof/>
              </w:rPr>
              <w:t>a trench grate (minimum internal width of 150 mm) located within the property boundary and not the back of footpath; and/or</w:t>
            </w:r>
          </w:p>
          <w:p w:rsidR="00927E91" w:rsidRPr="005B6219" w:rsidRDefault="00927E91" w:rsidP="005B6219">
            <w:pPr>
              <w:pStyle w:val="ListParagraph"/>
              <w:numPr>
                <w:ilvl w:val="0"/>
                <w:numId w:val="26"/>
              </w:numPr>
              <w:rPr>
                <w:noProof/>
              </w:rPr>
            </w:pPr>
            <w:r w:rsidRPr="005B6219">
              <w:rPr>
                <w:noProof/>
              </w:rPr>
              <w:t>shaping the internal driveway so that stormwater is collected in grated pits within the property; and or</w:t>
            </w:r>
          </w:p>
          <w:p w:rsidR="00927E91" w:rsidRPr="005B6219" w:rsidRDefault="00927E91" w:rsidP="005B6219">
            <w:pPr>
              <w:pStyle w:val="ListParagraph"/>
              <w:numPr>
                <w:ilvl w:val="0"/>
                <w:numId w:val="26"/>
              </w:numPr>
              <w:rPr>
                <w:noProof/>
              </w:rPr>
            </w:pPr>
            <w:r w:rsidRPr="005B6219">
              <w:rPr>
                <w:noProof/>
              </w:rPr>
              <w:t>another Council approved equivalent.</w:t>
            </w:r>
          </w:p>
          <w:p w:rsidR="00927E91" w:rsidRPr="005B6219" w:rsidRDefault="00927E91" w:rsidP="005B6219">
            <w:pPr>
              <w:rPr>
                <w:rFonts w:eastAsia="Calibri"/>
                <w:noProof/>
              </w:rPr>
            </w:pPr>
          </w:p>
        </w:tc>
      </w:tr>
      <w:tr w:rsidR="00927E91" w:rsidRPr="005B6219" w:rsidTr="00C541E4">
        <w:tc>
          <w:tcPr>
            <w:tcW w:w="646" w:type="dxa"/>
          </w:tcPr>
          <w:p w:rsidR="00927E91" w:rsidRPr="005B6219" w:rsidRDefault="00927E91" w:rsidP="005B6219">
            <w:pPr>
              <w:rPr>
                <w:rFonts w:eastAsia="Calibri"/>
                <w:lang w:val="en-US" w:eastAsia="en-AU"/>
              </w:rPr>
            </w:pPr>
            <w:r w:rsidRPr="005B6219">
              <w:rPr>
                <w:rFonts w:eastAsia="Calibri"/>
                <w:lang w:val="en-US" w:eastAsia="en-AU"/>
              </w:rPr>
              <w:t>2</w:t>
            </w:r>
            <w:r w:rsidR="00B4364E">
              <w:rPr>
                <w:rFonts w:eastAsia="Calibri"/>
                <w:lang w:val="en-US" w:eastAsia="en-AU"/>
              </w:rPr>
              <w:t>1</w:t>
            </w:r>
            <w:r w:rsidRPr="005B6219">
              <w:rPr>
                <w:rFonts w:eastAsia="Calibri"/>
                <w:lang w:val="en-US" w:eastAsia="en-AU"/>
              </w:rPr>
              <w:t>.</w:t>
            </w:r>
          </w:p>
        </w:tc>
        <w:tc>
          <w:tcPr>
            <w:tcW w:w="7292" w:type="dxa"/>
          </w:tcPr>
          <w:p w:rsidR="00927E91" w:rsidRPr="005B6219" w:rsidRDefault="00927E91" w:rsidP="005B6219">
            <w:r w:rsidRPr="005B6219">
              <w:rPr>
                <w:rFonts w:eastAsia="Calibri"/>
                <w:noProof/>
              </w:rPr>
              <w:t>All stormwater collected on the site is to be detained on site to the predevelopment level of peak stormwater discharge.  The design of any internal detention system is to be approved by Council’s Engineering Department prior to drainage works commencing.</w:t>
            </w:r>
            <w:r w:rsidRPr="005B6219">
              <w:t xml:space="preserve">  </w:t>
            </w:r>
          </w:p>
          <w:p w:rsidR="00927E91" w:rsidRPr="005B6219" w:rsidRDefault="00927E91" w:rsidP="005B6219"/>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t>2</w:t>
            </w:r>
            <w:r w:rsidR="00B4364E">
              <w:rPr>
                <w:rFonts w:eastAsia="Calibri"/>
                <w:lang w:val="en-US" w:eastAsia="en-AU"/>
              </w:rPr>
              <w:t>2</w:t>
            </w:r>
            <w:r w:rsidRPr="005B6219">
              <w:rPr>
                <w:rFonts w:eastAsia="Calibri"/>
                <w:lang w:val="en-US" w:eastAsia="en-AU"/>
              </w:rPr>
              <w:t>.</w:t>
            </w:r>
          </w:p>
        </w:tc>
        <w:tc>
          <w:tcPr>
            <w:tcW w:w="7292" w:type="dxa"/>
          </w:tcPr>
          <w:p w:rsidR="00927E91" w:rsidRPr="005B6219" w:rsidRDefault="00927E91" w:rsidP="005B6219">
            <w:pPr>
              <w:rPr>
                <w:lang w:eastAsia="en-AU"/>
              </w:rPr>
            </w:pPr>
            <w:r w:rsidRPr="005B6219">
              <w:rPr>
                <w:rFonts w:eastAsia="Calibri"/>
                <w:lang w:val="en-US" w:eastAsia="en-AU"/>
              </w:rPr>
              <w:t>Once the development has started</w:t>
            </w:r>
            <w:r w:rsidRPr="005B6219">
              <w:rPr>
                <w:rFonts w:eastAsia="Calibri"/>
                <w:lang w:eastAsia="en-AU"/>
              </w:rPr>
              <w:t xml:space="preserve"> it must be continued and completed to the satisfaction of the Responsible Authority.</w:t>
            </w:r>
          </w:p>
          <w:p w:rsidR="00927E91" w:rsidRPr="005B6219" w:rsidRDefault="00927E91" w:rsidP="005B6219">
            <w:pPr>
              <w:rPr>
                <w:rFonts w:eastAsia="Calibri"/>
                <w:lang w:eastAsia="en-AU"/>
              </w:rPr>
            </w:pPr>
          </w:p>
        </w:tc>
      </w:tr>
      <w:tr w:rsidR="00927E91" w:rsidRPr="005B6219" w:rsidTr="00C541E4">
        <w:tc>
          <w:tcPr>
            <w:tcW w:w="646" w:type="dxa"/>
            <w:hideMark/>
          </w:tcPr>
          <w:p w:rsidR="00927E91" w:rsidRPr="005B6219" w:rsidRDefault="00927E91" w:rsidP="005B6219">
            <w:pPr>
              <w:rPr>
                <w:rFonts w:eastAsia="Calibri"/>
                <w:lang w:val="en-US" w:eastAsia="en-AU"/>
              </w:rPr>
            </w:pPr>
            <w:r w:rsidRPr="005B6219">
              <w:rPr>
                <w:rFonts w:eastAsia="Calibri"/>
                <w:lang w:val="en-US" w:eastAsia="en-AU"/>
              </w:rPr>
              <w:t>2</w:t>
            </w:r>
            <w:r w:rsidR="00B4364E">
              <w:rPr>
                <w:rFonts w:eastAsia="Calibri"/>
                <w:lang w:val="en-US" w:eastAsia="en-AU"/>
              </w:rPr>
              <w:t>3</w:t>
            </w:r>
            <w:r w:rsidRPr="005B6219">
              <w:rPr>
                <w:rFonts w:eastAsia="Calibri"/>
                <w:lang w:val="en-US" w:eastAsia="en-AU"/>
              </w:rPr>
              <w:t>.</w:t>
            </w:r>
          </w:p>
        </w:tc>
        <w:tc>
          <w:tcPr>
            <w:tcW w:w="7292" w:type="dxa"/>
          </w:tcPr>
          <w:p w:rsidR="00927E91" w:rsidRPr="005B6219" w:rsidRDefault="00927E91" w:rsidP="005B6219">
            <w:pPr>
              <w:rPr>
                <w:lang w:eastAsia="en-AU"/>
              </w:rPr>
            </w:pPr>
            <w:r w:rsidRPr="005B6219">
              <w:rPr>
                <w:rFonts w:eastAsia="Calibri"/>
                <w:lang w:val="en-US" w:eastAsia="en-AU"/>
              </w:rPr>
              <w:t>This permit will expire in</w:t>
            </w:r>
            <w:r w:rsidRPr="005B6219">
              <w:rPr>
                <w:rFonts w:eastAsia="Calibri"/>
                <w:lang w:eastAsia="en-AU"/>
              </w:rPr>
              <w:t xml:space="preserve"> accordance with section 68 of the </w:t>
            </w:r>
            <w:r w:rsidRPr="005B6219">
              <w:rPr>
                <w:rFonts w:eastAsia="Calibri"/>
                <w:i/>
                <w:lang w:eastAsia="en-AU"/>
              </w:rPr>
              <w:t>Planning and Environment Act 1987</w:t>
            </w:r>
            <w:r w:rsidRPr="005B6219">
              <w:rPr>
                <w:rFonts w:eastAsia="Calibri"/>
                <w:lang w:eastAsia="en-AU"/>
              </w:rPr>
              <w:t>, if one of the following circumstances applies:</w:t>
            </w:r>
          </w:p>
          <w:p w:rsidR="00927E91" w:rsidRPr="005B6219" w:rsidRDefault="00927E91" w:rsidP="005B6219">
            <w:pPr>
              <w:rPr>
                <w:rFonts w:eastAsia="Calibri"/>
                <w:lang w:eastAsia="en-AU"/>
              </w:rPr>
            </w:pPr>
          </w:p>
          <w:p w:rsidR="00927E91" w:rsidRPr="005B6219" w:rsidRDefault="00927E91" w:rsidP="005B6219">
            <w:pPr>
              <w:numPr>
                <w:ilvl w:val="0"/>
                <w:numId w:val="24"/>
              </w:numPr>
              <w:tabs>
                <w:tab w:val="left" w:pos="379"/>
              </w:tabs>
              <w:ind w:left="379" w:hanging="379"/>
              <w:rPr>
                <w:rFonts w:eastAsia="Calibri"/>
                <w:lang w:eastAsia="en-AU"/>
              </w:rPr>
            </w:pPr>
            <w:r w:rsidRPr="005B6219">
              <w:rPr>
                <w:rFonts w:eastAsia="Calibri"/>
                <w:lang w:eastAsia="en-AU"/>
              </w:rPr>
              <w:t>The development is not started before 2 years from the date of issue</w:t>
            </w:r>
            <w:r w:rsidRPr="005B6219">
              <w:rPr>
                <w:rFonts w:eastAsia="Calibri"/>
                <w:i/>
                <w:iCs/>
                <w:lang w:eastAsia="en-AU"/>
              </w:rPr>
              <w:t>.</w:t>
            </w:r>
          </w:p>
          <w:p w:rsidR="00927E91" w:rsidRPr="005B6219" w:rsidRDefault="00927E91" w:rsidP="005B6219">
            <w:pPr>
              <w:numPr>
                <w:ilvl w:val="0"/>
                <w:numId w:val="24"/>
              </w:numPr>
              <w:tabs>
                <w:tab w:val="left" w:pos="379"/>
              </w:tabs>
              <w:ind w:left="379" w:hanging="379"/>
              <w:rPr>
                <w:rFonts w:eastAsia="Calibri"/>
                <w:lang w:eastAsia="en-AU"/>
              </w:rPr>
            </w:pPr>
            <w:r w:rsidRPr="005B6219">
              <w:rPr>
                <w:rFonts w:eastAsia="Calibri"/>
                <w:lang w:eastAsia="en-AU"/>
              </w:rPr>
              <w:t>The development is not completed before 4 years from the date of issue.</w:t>
            </w:r>
          </w:p>
          <w:p w:rsidR="00927E91" w:rsidRPr="005B6219" w:rsidRDefault="00927E91" w:rsidP="005B6219">
            <w:pPr>
              <w:numPr>
                <w:ilvl w:val="0"/>
                <w:numId w:val="24"/>
              </w:numPr>
              <w:tabs>
                <w:tab w:val="left" w:pos="379"/>
              </w:tabs>
              <w:ind w:left="379" w:hanging="379"/>
              <w:rPr>
                <w:rFonts w:eastAsia="Calibri"/>
                <w:lang w:eastAsia="en-AU"/>
              </w:rPr>
            </w:pPr>
            <w:r w:rsidRPr="005B6219">
              <w:rPr>
                <w:rFonts w:eastAsia="Calibri"/>
                <w:lang w:eastAsia="en-AU"/>
              </w:rPr>
              <w:t>The use is not commenced within 2 years of completion of development.</w:t>
            </w:r>
          </w:p>
          <w:p w:rsidR="00927E91" w:rsidRPr="005B6219" w:rsidRDefault="00927E91" w:rsidP="005B6219">
            <w:pPr>
              <w:tabs>
                <w:tab w:val="left" w:pos="379"/>
              </w:tabs>
              <w:ind w:left="379"/>
              <w:rPr>
                <w:rFonts w:eastAsia="Calibri"/>
                <w:lang w:eastAsia="en-AU"/>
              </w:rPr>
            </w:pPr>
          </w:p>
          <w:p w:rsidR="00927E91" w:rsidRPr="005B6219" w:rsidRDefault="00927E91" w:rsidP="005B6219">
            <w:pPr>
              <w:pStyle w:val="other"/>
              <w:tabs>
                <w:tab w:val="num" w:pos="567"/>
                <w:tab w:val="left" w:pos="851"/>
              </w:tabs>
              <w:rPr>
                <w:sz w:val="26"/>
                <w:szCs w:val="26"/>
                <w:lang w:eastAsia="en-AU"/>
              </w:rPr>
            </w:pPr>
            <w:r w:rsidRPr="005B6219">
              <w:rPr>
                <w:sz w:val="26"/>
                <w:szCs w:val="26"/>
                <w:lang w:eastAsia="en-AU"/>
              </w:rPr>
              <w:t xml:space="preserve">In accordance with section 69 of the </w:t>
            </w:r>
            <w:r w:rsidRPr="005B6219">
              <w:rPr>
                <w:i/>
                <w:iCs/>
                <w:sz w:val="26"/>
                <w:szCs w:val="26"/>
                <w:lang w:eastAsia="en-AU"/>
              </w:rPr>
              <w:t>Planning and Environment Act 1987,</w:t>
            </w:r>
            <w:r w:rsidRPr="005B6219">
              <w:rPr>
                <w:sz w:val="26"/>
                <w:szCs w:val="26"/>
                <w:lang w:eastAsia="en-AU"/>
              </w:rPr>
              <w:t xml:space="preserve"> the </w:t>
            </w:r>
            <w:r w:rsidR="00B4364E">
              <w:rPr>
                <w:sz w:val="26"/>
                <w:szCs w:val="26"/>
                <w:lang w:eastAsia="en-AU"/>
              </w:rPr>
              <w:t>R</w:t>
            </w:r>
            <w:r w:rsidRPr="005B6219">
              <w:rPr>
                <w:sz w:val="26"/>
                <w:szCs w:val="26"/>
                <w:lang w:eastAsia="en-AU"/>
              </w:rPr>
              <w:t xml:space="preserve">esponsible </w:t>
            </w:r>
            <w:r w:rsidR="00B4364E">
              <w:rPr>
                <w:sz w:val="26"/>
                <w:szCs w:val="26"/>
                <w:lang w:eastAsia="en-AU"/>
              </w:rPr>
              <w:t>A</w:t>
            </w:r>
            <w:r w:rsidRPr="005B6219">
              <w:rPr>
                <w:sz w:val="26"/>
                <w:szCs w:val="26"/>
                <w:lang w:eastAsia="en-AU"/>
              </w:rPr>
              <w:t>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927E91" w:rsidRPr="005B6219" w:rsidRDefault="00927E91" w:rsidP="005B6219">
            <w:pPr>
              <w:pStyle w:val="other"/>
              <w:tabs>
                <w:tab w:val="num" w:pos="567"/>
                <w:tab w:val="left" w:pos="851"/>
              </w:tabs>
              <w:rPr>
                <w:sz w:val="26"/>
                <w:szCs w:val="26"/>
                <w:lang w:eastAsia="en-AU"/>
              </w:rPr>
            </w:pPr>
          </w:p>
        </w:tc>
      </w:tr>
    </w:tbl>
    <w:p w:rsidR="00FC407F" w:rsidRDefault="00FC407F">
      <w:pPr>
        <w:jc w:val="center"/>
        <w:rPr>
          <w:b/>
        </w:rPr>
      </w:pPr>
      <w:bookmarkStart w:id="13" w:name="TOROAD"/>
      <w:bookmarkStart w:id="14" w:name="DET"/>
      <w:bookmarkStart w:id="15" w:name="LPOD"/>
      <w:bookmarkStart w:id="16" w:name="Plans"/>
      <w:bookmarkStart w:id="17" w:name="Percent"/>
      <w:bookmarkStart w:id="18" w:name="RBS"/>
      <w:bookmarkEnd w:id="13"/>
      <w:bookmarkEnd w:id="14"/>
      <w:bookmarkEnd w:id="15"/>
      <w:bookmarkEnd w:id="16"/>
      <w:bookmarkEnd w:id="17"/>
      <w:bookmarkEnd w:id="18"/>
      <w:r>
        <w:rPr>
          <w:b/>
        </w:rPr>
        <w:t>---</w:t>
      </w:r>
      <w:r>
        <w:t xml:space="preserve"> </w:t>
      </w:r>
      <w:r>
        <w:rPr>
          <w:b/>
        </w:rPr>
        <w:t xml:space="preserve">End of Conditions </w:t>
      </w:r>
      <w:r>
        <w:t>---</w:t>
      </w:r>
    </w:p>
    <w:sectPr w:rsidR="00FC407F">
      <w:footerReference w:type="default" r:id="rId9"/>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259" w:rsidRDefault="00700259">
      <w:r>
        <w:separator/>
      </w:r>
    </w:p>
  </w:endnote>
  <w:endnote w:type="continuationSeparator" w:id="0">
    <w:p w:rsidR="00700259" w:rsidRDefault="0070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700259">
      <w:trPr>
        <w:cantSplit/>
      </w:trPr>
      <w:tc>
        <w:tcPr>
          <w:tcW w:w="6774" w:type="dxa"/>
        </w:tcPr>
        <w:p w:rsidR="00700259" w:rsidRDefault="00700259">
          <w:pPr>
            <w:pStyle w:val="Footer"/>
            <w:spacing w:before="144"/>
            <w:rPr>
              <w:sz w:val="16"/>
              <w:szCs w:val="16"/>
            </w:rPr>
          </w:pPr>
          <w:r>
            <w:rPr>
              <w:sz w:val="16"/>
              <w:szCs w:val="16"/>
            </w:rPr>
            <w:t>VCAT Reference No. P2043/2019</w:t>
          </w:r>
        </w:p>
      </w:tc>
      <w:tc>
        <w:tcPr>
          <w:tcW w:w="2334" w:type="dxa"/>
        </w:tcPr>
        <w:p w:rsidR="00700259" w:rsidRDefault="00700259">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Pr>
              <w:rStyle w:val="PageNumber"/>
              <w:noProof/>
              <w:sz w:val="16"/>
              <w:szCs w:val="16"/>
            </w:rPr>
            <w:t>14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14</w:t>
          </w:r>
          <w:r>
            <w:rPr>
              <w:rStyle w:val="PageNumber"/>
              <w:sz w:val="16"/>
              <w:szCs w:val="16"/>
            </w:rPr>
            <w:fldChar w:fldCharType="end"/>
          </w:r>
        </w:p>
      </w:tc>
    </w:tr>
  </w:tbl>
  <w:p w:rsidR="00700259" w:rsidRDefault="00700259">
    <w:pPr>
      <w:rPr>
        <w:sz w:val="2"/>
      </w:rPr>
    </w:pPr>
  </w:p>
  <w:p w:rsidR="00700259" w:rsidRDefault="0070025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259" w:rsidRDefault="00700259">
      <w:r>
        <w:separator/>
      </w:r>
    </w:p>
  </w:footnote>
  <w:footnote w:type="continuationSeparator" w:id="0">
    <w:p w:rsidR="00700259" w:rsidRDefault="00700259">
      <w:r>
        <w:continuationSeparator/>
      </w:r>
    </w:p>
  </w:footnote>
  <w:footnote w:id="1">
    <w:p w:rsidR="00700259" w:rsidRDefault="00700259" w:rsidP="00EF2D12">
      <w:pPr>
        <w:pStyle w:val="FootnoteText"/>
      </w:pPr>
      <w:r>
        <w:rPr>
          <w:rStyle w:val="FootnoteReference"/>
        </w:rPr>
        <w:footnoteRef/>
      </w:r>
      <w:r>
        <w:t xml:space="preserve"> </w:t>
      </w:r>
      <w:r>
        <w:tab/>
        <w:t xml:space="preserve">Section 4(2)(d) of the </w:t>
      </w:r>
      <w:r>
        <w:rPr>
          <w:i/>
        </w:rPr>
        <w:t>Victorian Civil &amp; Administrative Tribunal Act 1998</w:t>
      </w:r>
      <w:r>
        <w:t xml:space="preserve"> states a failure to make a decision is deemed to be a decision to refuse the permit application.  </w:t>
      </w:r>
    </w:p>
  </w:footnote>
  <w:footnote w:id="2">
    <w:p w:rsidR="00700259" w:rsidRDefault="00700259">
      <w:pPr>
        <w:pStyle w:val="FootnoteText"/>
        <w:ind w:left="540" w:hanging="540"/>
        <w:rPr>
          <w:sz w:val="16"/>
          <w:szCs w:val="16"/>
        </w:rPr>
      </w:pPr>
      <w:r>
        <w:rPr>
          <w:rStyle w:val="FootnoteReference"/>
          <w:sz w:val="16"/>
          <w:szCs w:val="16"/>
        </w:rPr>
        <w:footnoteRef/>
      </w:r>
      <w:r>
        <w:rPr>
          <w:sz w:val="16"/>
          <w:szCs w:val="16"/>
        </w:rPr>
        <w:t xml:space="preserve"> </w:t>
      </w:r>
      <w:r>
        <w:rPr>
          <w:sz w:val="16"/>
          <w:szCs w:val="16"/>
        </w:rPr>
        <w:tab/>
        <w:t xml:space="preserve">I have considered the written and oral submissions of all the parties that appeared, all the written and oral expert evidence, all the exhibits tendered by the parties and experts, and all the statements of grounds filed.  I 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253E2FC6"/>
    <w:lvl w:ilvl="0" w:tplc="2064ECDE">
      <w:start w:val="1"/>
      <w:numFmt w:val="decimal"/>
      <w:lvlText w:val="%1."/>
      <w:lvlJc w:val="left"/>
      <w:pPr>
        <w:tabs>
          <w:tab w:val="num" w:pos="1080"/>
        </w:tabs>
        <w:ind w:left="1080" w:hanging="360"/>
      </w:pPr>
      <w:rPr>
        <w:rFonts w:ascii="Times New Roman" w:eastAsia="Times New Roman" w:hAnsi="Times New Roman" w:cs="Times New Roman" w:hint="default"/>
        <w:b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0000005"/>
    <w:multiLevelType w:val="multilevel"/>
    <w:tmpl w:val="704A2BF8"/>
    <w:lvl w:ilvl="0">
      <w:start w:val="1"/>
      <w:numFmt w:val="decimal"/>
      <w:pStyle w:val="NumberedParagraph"/>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7"/>
    <w:multiLevelType w:val="hybridMultilevel"/>
    <w:tmpl w:val="CB949D76"/>
    <w:lvl w:ilvl="0" w:tplc="FFFFFFFF">
      <w:start w:val="1"/>
      <w:numFmt w:val="bullet"/>
      <w:pStyle w:val="Letter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54E329A"/>
    <w:multiLevelType w:val="hybridMultilevel"/>
    <w:tmpl w:val="444803C8"/>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5"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6" w15:restartNumberingAfterBreak="0">
    <w:nsid w:val="0B893A7F"/>
    <w:multiLevelType w:val="hybridMultilevel"/>
    <w:tmpl w:val="A59A9106"/>
    <w:lvl w:ilvl="0" w:tplc="626C5A22">
      <w:start w:val="1"/>
      <w:numFmt w:val="lowerLetter"/>
      <w:pStyle w:val="Para4"/>
      <w:lvlText w:val="%1"/>
      <w:lvlJc w:val="left"/>
      <w:pPr>
        <w:tabs>
          <w:tab w:val="num" w:pos="1134"/>
        </w:tabs>
        <w:ind w:left="1134" w:hanging="567"/>
      </w:pPr>
      <w:rPr>
        <w:rFonts w:hint="default"/>
      </w:rPr>
    </w:lvl>
    <w:lvl w:ilvl="1" w:tplc="66D0C93C">
      <w:start w:val="1"/>
      <w:numFmt w:val="bullet"/>
      <w:lvlText w:val=""/>
      <w:lvlJc w:val="left"/>
      <w:pPr>
        <w:tabs>
          <w:tab w:val="num" w:pos="1134"/>
        </w:tabs>
        <w:ind w:left="1134" w:hanging="567"/>
      </w:pPr>
      <w:rPr>
        <w:rFonts w:ascii="Symbol" w:hAnsi="Symbol" w:hint="default"/>
      </w:rPr>
    </w:lvl>
    <w:lvl w:ilvl="2" w:tplc="8DD6E3DC" w:tentative="1">
      <w:start w:val="1"/>
      <w:numFmt w:val="lowerRoman"/>
      <w:lvlText w:val="%3."/>
      <w:lvlJc w:val="right"/>
      <w:pPr>
        <w:tabs>
          <w:tab w:val="num" w:pos="2160"/>
        </w:tabs>
        <w:ind w:left="2160" w:hanging="180"/>
      </w:pPr>
    </w:lvl>
    <w:lvl w:ilvl="3" w:tplc="20DE3C4C" w:tentative="1">
      <w:start w:val="1"/>
      <w:numFmt w:val="decimal"/>
      <w:lvlText w:val="%4."/>
      <w:lvlJc w:val="left"/>
      <w:pPr>
        <w:tabs>
          <w:tab w:val="num" w:pos="2880"/>
        </w:tabs>
        <w:ind w:left="2880" w:hanging="360"/>
      </w:pPr>
    </w:lvl>
    <w:lvl w:ilvl="4" w:tplc="82EAD046">
      <w:start w:val="1"/>
      <w:numFmt w:val="lowerLetter"/>
      <w:pStyle w:val="Para4"/>
      <w:lvlText w:val="%5."/>
      <w:lvlJc w:val="left"/>
      <w:pPr>
        <w:tabs>
          <w:tab w:val="num" w:pos="1134"/>
        </w:tabs>
        <w:ind w:left="1134" w:hanging="567"/>
      </w:pPr>
      <w:rPr>
        <w:rFonts w:hint="default"/>
      </w:rPr>
    </w:lvl>
    <w:lvl w:ilvl="5" w:tplc="9E8CFB0E" w:tentative="1">
      <w:start w:val="1"/>
      <w:numFmt w:val="lowerRoman"/>
      <w:lvlText w:val="%6."/>
      <w:lvlJc w:val="right"/>
      <w:pPr>
        <w:tabs>
          <w:tab w:val="num" w:pos="4320"/>
        </w:tabs>
        <w:ind w:left="4320" w:hanging="180"/>
      </w:pPr>
    </w:lvl>
    <w:lvl w:ilvl="6" w:tplc="E8DE49D8" w:tentative="1">
      <w:start w:val="1"/>
      <w:numFmt w:val="decimal"/>
      <w:lvlText w:val="%7."/>
      <w:lvlJc w:val="left"/>
      <w:pPr>
        <w:tabs>
          <w:tab w:val="num" w:pos="5040"/>
        </w:tabs>
        <w:ind w:left="5040" w:hanging="360"/>
      </w:pPr>
    </w:lvl>
    <w:lvl w:ilvl="7" w:tplc="51D4AFF6" w:tentative="1">
      <w:start w:val="1"/>
      <w:numFmt w:val="lowerLetter"/>
      <w:lvlText w:val="%8."/>
      <w:lvlJc w:val="left"/>
      <w:pPr>
        <w:tabs>
          <w:tab w:val="num" w:pos="5760"/>
        </w:tabs>
        <w:ind w:left="5760" w:hanging="360"/>
      </w:pPr>
    </w:lvl>
    <w:lvl w:ilvl="8" w:tplc="FB30E950" w:tentative="1">
      <w:start w:val="1"/>
      <w:numFmt w:val="lowerRoman"/>
      <w:lvlText w:val="%9."/>
      <w:lvlJc w:val="right"/>
      <w:pPr>
        <w:tabs>
          <w:tab w:val="num" w:pos="6480"/>
        </w:tabs>
        <w:ind w:left="6480" w:hanging="180"/>
      </w:pPr>
    </w:lvl>
  </w:abstractNum>
  <w:abstractNum w:abstractNumId="7" w15:restartNumberingAfterBreak="0">
    <w:nsid w:val="0C1E1A84"/>
    <w:multiLevelType w:val="hybridMultilevel"/>
    <w:tmpl w:val="00F050FC"/>
    <w:lvl w:ilvl="0" w:tplc="F75E828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32A618D"/>
    <w:multiLevelType w:val="hybridMultilevel"/>
    <w:tmpl w:val="9EC46206"/>
    <w:lvl w:ilvl="0" w:tplc="0A18993C">
      <w:start w:val="1"/>
      <w:numFmt w:val="lowerRoman"/>
      <w:pStyle w:val="Para3"/>
      <w:lvlText w:val="%1"/>
      <w:lvlJc w:val="left"/>
      <w:pPr>
        <w:tabs>
          <w:tab w:val="num" w:pos="1134"/>
        </w:tabs>
        <w:ind w:left="1134" w:hanging="567"/>
      </w:pPr>
      <w:rPr>
        <w:rFonts w:hint="default"/>
      </w:rPr>
    </w:lvl>
    <w:lvl w:ilvl="1" w:tplc="11BE2ACA" w:tentative="1">
      <w:start w:val="1"/>
      <w:numFmt w:val="lowerLetter"/>
      <w:lvlText w:val="%2."/>
      <w:lvlJc w:val="left"/>
      <w:pPr>
        <w:tabs>
          <w:tab w:val="num" w:pos="1440"/>
        </w:tabs>
        <w:ind w:left="1440" w:hanging="360"/>
      </w:pPr>
    </w:lvl>
    <w:lvl w:ilvl="2" w:tplc="DD28DBDE" w:tentative="1">
      <w:start w:val="1"/>
      <w:numFmt w:val="lowerRoman"/>
      <w:lvlText w:val="%3."/>
      <w:lvlJc w:val="right"/>
      <w:pPr>
        <w:tabs>
          <w:tab w:val="num" w:pos="2160"/>
        </w:tabs>
        <w:ind w:left="2160" w:hanging="180"/>
      </w:pPr>
    </w:lvl>
    <w:lvl w:ilvl="3" w:tplc="9472425E" w:tentative="1">
      <w:start w:val="1"/>
      <w:numFmt w:val="decimal"/>
      <w:lvlText w:val="%4."/>
      <w:lvlJc w:val="left"/>
      <w:pPr>
        <w:tabs>
          <w:tab w:val="num" w:pos="2880"/>
        </w:tabs>
        <w:ind w:left="2880" w:hanging="360"/>
      </w:pPr>
    </w:lvl>
    <w:lvl w:ilvl="4" w:tplc="89529950" w:tentative="1">
      <w:start w:val="1"/>
      <w:numFmt w:val="lowerLetter"/>
      <w:lvlText w:val="%5."/>
      <w:lvlJc w:val="left"/>
      <w:pPr>
        <w:tabs>
          <w:tab w:val="num" w:pos="3600"/>
        </w:tabs>
        <w:ind w:left="3600" w:hanging="360"/>
      </w:pPr>
    </w:lvl>
    <w:lvl w:ilvl="5" w:tplc="21D67DA0" w:tentative="1">
      <w:start w:val="1"/>
      <w:numFmt w:val="lowerRoman"/>
      <w:lvlText w:val="%6."/>
      <w:lvlJc w:val="right"/>
      <w:pPr>
        <w:tabs>
          <w:tab w:val="num" w:pos="4320"/>
        </w:tabs>
        <w:ind w:left="4320" w:hanging="180"/>
      </w:pPr>
    </w:lvl>
    <w:lvl w:ilvl="6" w:tplc="F80EFC70" w:tentative="1">
      <w:start w:val="1"/>
      <w:numFmt w:val="decimal"/>
      <w:lvlText w:val="%7."/>
      <w:lvlJc w:val="left"/>
      <w:pPr>
        <w:tabs>
          <w:tab w:val="num" w:pos="5040"/>
        </w:tabs>
        <w:ind w:left="5040" w:hanging="360"/>
      </w:pPr>
    </w:lvl>
    <w:lvl w:ilvl="7" w:tplc="10FAC442" w:tentative="1">
      <w:start w:val="1"/>
      <w:numFmt w:val="lowerLetter"/>
      <w:lvlText w:val="%8."/>
      <w:lvlJc w:val="left"/>
      <w:pPr>
        <w:tabs>
          <w:tab w:val="num" w:pos="5760"/>
        </w:tabs>
        <w:ind w:left="5760" w:hanging="360"/>
      </w:pPr>
    </w:lvl>
    <w:lvl w:ilvl="8" w:tplc="C5F61F6C" w:tentative="1">
      <w:start w:val="1"/>
      <w:numFmt w:val="lowerRoman"/>
      <w:lvlText w:val="%9."/>
      <w:lvlJc w:val="right"/>
      <w:pPr>
        <w:tabs>
          <w:tab w:val="num" w:pos="6480"/>
        </w:tabs>
        <w:ind w:left="6480" w:hanging="180"/>
      </w:pPr>
    </w:lvl>
  </w:abstractNum>
  <w:abstractNum w:abstractNumId="9" w15:restartNumberingAfterBreak="0">
    <w:nsid w:val="16E87067"/>
    <w:multiLevelType w:val="hybridMultilevel"/>
    <w:tmpl w:val="F710A3BC"/>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15:restartNumberingAfterBreak="0">
    <w:nsid w:val="202C0040"/>
    <w:multiLevelType w:val="hybridMultilevel"/>
    <w:tmpl w:val="9BCECB8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4906483"/>
    <w:multiLevelType w:val="hybridMultilevel"/>
    <w:tmpl w:val="A92A2A3C"/>
    <w:lvl w:ilvl="0" w:tplc="600C0DCA">
      <w:start w:val="1"/>
      <w:numFmt w:val="bullet"/>
      <w:lvlText w:val=""/>
      <w:lvlJc w:val="left"/>
      <w:pPr>
        <w:ind w:left="720" w:hanging="360"/>
      </w:pPr>
      <w:rPr>
        <w:rFonts w:ascii="Symbol" w:hAnsi="Symbol" w:hint="default"/>
      </w:rPr>
    </w:lvl>
    <w:lvl w:ilvl="1" w:tplc="71345ADA">
      <w:start w:val="1"/>
      <w:numFmt w:val="decimal"/>
      <w:lvlText w:val="%2."/>
      <w:lvlJc w:val="left"/>
      <w:pPr>
        <w:tabs>
          <w:tab w:val="num" w:pos="1440"/>
        </w:tabs>
        <w:ind w:left="1440" w:hanging="360"/>
      </w:pPr>
    </w:lvl>
    <w:lvl w:ilvl="2" w:tplc="C8DC1E36">
      <w:start w:val="1"/>
      <w:numFmt w:val="decimal"/>
      <w:lvlText w:val="%3."/>
      <w:lvlJc w:val="left"/>
      <w:pPr>
        <w:tabs>
          <w:tab w:val="num" w:pos="2160"/>
        </w:tabs>
        <w:ind w:left="2160" w:hanging="360"/>
      </w:pPr>
    </w:lvl>
    <w:lvl w:ilvl="3" w:tplc="5F1070B2">
      <w:start w:val="1"/>
      <w:numFmt w:val="decimal"/>
      <w:lvlText w:val="%4."/>
      <w:lvlJc w:val="left"/>
      <w:pPr>
        <w:tabs>
          <w:tab w:val="num" w:pos="2880"/>
        </w:tabs>
        <w:ind w:left="2880" w:hanging="360"/>
      </w:pPr>
    </w:lvl>
    <w:lvl w:ilvl="4" w:tplc="C88C2A34">
      <w:start w:val="1"/>
      <w:numFmt w:val="decimal"/>
      <w:lvlText w:val="%5."/>
      <w:lvlJc w:val="left"/>
      <w:pPr>
        <w:tabs>
          <w:tab w:val="num" w:pos="3600"/>
        </w:tabs>
        <w:ind w:left="3600" w:hanging="360"/>
      </w:pPr>
    </w:lvl>
    <w:lvl w:ilvl="5" w:tplc="6BEA818C">
      <w:start w:val="1"/>
      <w:numFmt w:val="decimal"/>
      <w:lvlText w:val="%6."/>
      <w:lvlJc w:val="left"/>
      <w:pPr>
        <w:tabs>
          <w:tab w:val="num" w:pos="4320"/>
        </w:tabs>
        <w:ind w:left="4320" w:hanging="360"/>
      </w:pPr>
    </w:lvl>
    <w:lvl w:ilvl="6" w:tplc="5DEEDAA2">
      <w:start w:val="1"/>
      <w:numFmt w:val="decimal"/>
      <w:lvlText w:val="%7."/>
      <w:lvlJc w:val="left"/>
      <w:pPr>
        <w:tabs>
          <w:tab w:val="num" w:pos="5040"/>
        </w:tabs>
        <w:ind w:left="5040" w:hanging="360"/>
      </w:pPr>
    </w:lvl>
    <w:lvl w:ilvl="7" w:tplc="0C9E4B54">
      <w:start w:val="1"/>
      <w:numFmt w:val="decimal"/>
      <w:lvlText w:val="%8."/>
      <w:lvlJc w:val="left"/>
      <w:pPr>
        <w:tabs>
          <w:tab w:val="num" w:pos="5760"/>
        </w:tabs>
        <w:ind w:left="5760" w:hanging="360"/>
      </w:pPr>
    </w:lvl>
    <w:lvl w:ilvl="8" w:tplc="6302B298">
      <w:start w:val="1"/>
      <w:numFmt w:val="decimal"/>
      <w:lvlText w:val="%9."/>
      <w:lvlJc w:val="left"/>
      <w:pPr>
        <w:tabs>
          <w:tab w:val="num" w:pos="6480"/>
        </w:tabs>
        <w:ind w:left="6480" w:hanging="360"/>
      </w:pPr>
    </w:lvl>
  </w:abstractNum>
  <w:abstractNum w:abstractNumId="12" w15:restartNumberingAfterBreak="0">
    <w:nsid w:val="31A301F8"/>
    <w:multiLevelType w:val="hybridMultilevel"/>
    <w:tmpl w:val="81B0A810"/>
    <w:lvl w:ilvl="0" w:tplc="555C0BD2">
      <w:start w:val="1"/>
      <w:numFmt w:val="bullet"/>
      <w:pStyle w:val="Para5"/>
      <w:lvlText w:val=""/>
      <w:lvlJc w:val="left"/>
      <w:pPr>
        <w:tabs>
          <w:tab w:val="num" w:pos="1134"/>
        </w:tabs>
        <w:ind w:left="1134" w:hanging="567"/>
      </w:pPr>
      <w:rPr>
        <w:rFonts w:ascii="Symbol" w:hAnsi="Symbol" w:hint="default"/>
      </w:rPr>
    </w:lvl>
    <w:lvl w:ilvl="1" w:tplc="E4E2537C">
      <w:start w:val="1"/>
      <w:numFmt w:val="bullet"/>
      <w:lvlText w:val="o"/>
      <w:lvlJc w:val="left"/>
      <w:pPr>
        <w:tabs>
          <w:tab w:val="num" w:pos="1440"/>
        </w:tabs>
        <w:ind w:left="1440" w:hanging="360"/>
      </w:pPr>
      <w:rPr>
        <w:rFonts w:ascii="Courier New" w:hAnsi="Courier New" w:cs="Courier New" w:hint="default"/>
      </w:rPr>
    </w:lvl>
    <w:lvl w:ilvl="2" w:tplc="1EA03C32" w:tentative="1">
      <w:start w:val="1"/>
      <w:numFmt w:val="bullet"/>
      <w:lvlText w:val=""/>
      <w:lvlJc w:val="left"/>
      <w:pPr>
        <w:tabs>
          <w:tab w:val="num" w:pos="2160"/>
        </w:tabs>
        <w:ind w:left="2160" w:hanging="360"/>
      </w:pPr>
      <w:rPr>
        <w:rFonts w:ascii="Wingdings" w:hAnsi="Wingdings" w:hint="default"/>
      </w:rPr>
    </w:lvl>
    <w:lvl w:ilvl="3" w:tplc="A04867A0" w:tentative="1">
      <w:start w:val="1"/>
      <w:numFmt w:val="bullet"/>
      <w:lvlText w:val=""/>
      <w:lvlJc w:val="left"/>
      <w:pPr>
        <w:tabs>
          <w:tab w:val="num" w:pos="2880"/>
        </w:tabs>
        <w:ind w:left="2880" w:hanging="360"/>
      </w:pPr>
      <w:rPr>
        <w:rFonts w:ascii="Symbol" w:hAnsi="Symbol" w:hint="default"/>
      </w:rPr>
    </w:lvl>
    <w:lvl w:ilvl="4" w:tplc="04FC8BAE" w:tentative="1">
      <w:start w:val="1"/>
      <w:numFmt w:val="bullet"/>
      <w:lvlText w:val="o"/>
      <w:lvlJc w:val="left"/>
      <w:pPr>
        <w:tabs>
          <w:tab w:val="num" w:pos="3600"/>
        </w:tabs>
        <w:ind w:left="3600" w:hanging="360"/>
      </w:pPr>
      <w:rPr>
        <w:rFonts w:ascii="Courier New" w:hAnsi="Courier New" w:cs="Courier New" w:hint="default"/>
      </w:rPr>
    </w:lvl>
    <w:lvl w:ilvl="5" w:tplc="32D8DA98" w:tentative="1">
      <w:start w:val="1"/>
      <w:numFmt w:val="bullet"/>
      <w:lvlText w:val=""/>
      <w:lvlJc w:val="left"/>
      <w:pPr>
        <w:tabs>
          <w:tab w:val="num" w:pos="4320"/>
        </w:tabs>
        <w:ind w:left="4320" w:hanging="360"/>
      </w:pPr>
      <w:rPr>
        <w:rFonts w:ascii="Wingdings" w:hAnsi="Wingdings" w:hint="default"/>
      </w:rPr>
    </w:lvl>
    <w:lvl w:ilvl="6" w:tplc="9ABA6B82" w:tentative="1">
      <w:start w:val="1"/>
      <w:numFmt w:val="bullet"/>
      <w:lvlText w:val=""/>
      <w:lvlJc w:val="left"/>
      <w:pPr>
        <w:tabs>
          <w:tab w:val="num" w:pos="5040"/>
        </w:tabs>
        <w:ind w:left="5040" w:hanging="360"/>
      </w:pPr>
      <w:rPr>
        <w:rFonts w:ascii="Symbol" w:hAnsi="Symbol" w:hint="default"/>
      </w:rPr>
    </w:lvl>
    <w:lvl w:ilvl="7" w:tplc="F0DCA6AE" w:tentative="1">
      <w:start w:val="1"/>
      <w:numFmt w:val="bullet"/>
      <w:lvlText w:val="o"/>
      <w:lvlJc w:val="left"/>
      <w:pPr>
        <w:tabs>
          <w:tab w:val="num" w:pos="5760"/>
        </w:tabs>
        <w:ind w:left="5760" w:hanging="360"/>
      </w:pPr>
      <w:rPr>
        <w:rFonts w:ascii="Courier New" w:hAnsi="Courier New" w:cs="Courier New" w:hint="default"/>
      </w:rPr>
    </w:lvl>
    <w:lvl w:ilvl="8" w:tplc="F3C451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C7FB4"/>
    <w:multiLevelType w:val="hybridMultilevel"/>
    <w:tmpl w:val="BE984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01273"/>
    <w:multiLevelType w:val="singleLevel"/>
    <w:tmpl w:val="D3585972"/>
    <w:lvl w:ilvl="0">
      <w:start w:val="1"/>
      <w:numFmt w:val="lowerLetter"/>
      <w:lvlText w:val="%1)"/>
      <w:lvlJc w:val="left"/>
      <w:pPr>
        <w:ind w:left="360" w:hanging="360"/>
      </w:pPr>
      <w:rPr>
        <w:b w:val="0"/>
        <w:i w:val="0"/>
        <w:sz w:val="26"/>
        <w:szCs w:val="26"/>
      </w:rPr>
    </w:lvl>
  </w:abstractNum>
  <w:abstractNum w:abstractNumId="15" w15:restartNumberingAfterBreak="0">
    <w:nsid w:val="3F125734"/>
    <w:multiLevelType w:val="singleLevel"/>
    <w:tmpl w:val="C7AA533A"/>
    <w:lvl w:ilvl="0">
      <w:start w:val="1"/>
      <w:numFmt w:val="lowerLetter"/>
      <w:lvlText w:val="%1)"/>
      <w:lvlJc w:val="left"/>
      <w:pPr>
        <w:tabs>
          <w:tab w:val="num" w:pos="567"/>
        </w:tabs>
        <w:ind w:left="567" w:hanging="567"/>
      </w:pPr>
      <w:rPr>
        <w:b w:val="0"/>
        <w:i w:val="0"/>
        <w:sz w:val="26"/>
        <w:szCs w:val="26"/>
      </w:rPr>
    </w:lvl>
  </w:abstractNum>
  <w:abstractNum w:abstractNumId="16" w15:restartNumberingAfterBreak="0">
    <w:nsid w:val="42FD2A3A"/>
    <w:multiLevelType w:val="hybridMultilevel"/>
    <w:tmpl w:val="556A4C4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38D3F7E"/>
    <w:multiLevelType w:val="hybridMultilevel"/>
    <w:tmpl w:val="EC5AF728"/>
    <w:lvl w:ilvl="0" w:tplc="1AFE0950">
      <w:start w:val="1"/>
      <w:numFmt w:val="lowerLetter"/>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E2599"/>
    <w:multiLevelType w:val="hybridMultilevel"/>
    <w:tmpl w:val="0E44B688"/>
    <w:lvl w:ilvl="0" w:tplc="FFFFFFFF">
      <w:start w:val="1"/>
      <w:numFmt w:val="lowerLetter"/>
      <w:lvlText w:val="(%1)"/>
      <w:lvlJc w:val="left"/>
      <w:pPr>
        <w:tabs>
          <w:tab w:val="num" w:pos="1080"/>
        </w:tabs>
        <w:ind w:left="1080" w:hanging="360"/>
      </w:pPr>
    </w:lvl>
    <w:lvl w:ilvl="1" w:tplc="0C090001">
      <w:start w:val="1"/>
      <w:numFmt w:val="bullet"/>
      <w:lvlText w:val=""/>
      <w:lvlJc w:val="left"/>
      <w:pPr>
        <w:tabs>
          <w:tab w:val="num" w:pos="567"/>
        </w:tabs>
        <w:ind w:left="567" w:hanging="567"/>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9114EB9"/>
    <w:multiLevelType w:val="hybridMultilevel"/>
    <w:tmpl w:val="858E116E"/>
    <w:lvl w:ilvl="0" w:tplc="0C090001">
      <w:start w:val="1"/>
      <w:numFmt w:val="bullet"/>
      <w:lvlText w:val=""/>
      <w:lvlJc w:val="left"/>
      <w:pPr>
        <w:tabs>
          <w:tab w:val="num" w:pos="1080"/>
        </w:tabs>
        <w:ind w:left="1080" w:hanging="360"/>
      </w:pPr>
      <w:rPr>
        <w:rFonts w:ascii="Symbol" w:hAnsi="Symbol" w:hint="default"/>
        <w:b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EE834AF"/>
    <w:multiLevelType w:val="singleLevel"/>
    <w:tmpl w:val="065A038E"/>
    <w:lvl w:ilvl="0">
      <w:start w:val="1"/>
      <w:numFmt w:val="bullet"/>
      <w:lvlText w:val=""/>
      <w:lvlJc w:val="left"/>
      <w:pPr>
        <w:tabs>
          <w:tab w:val="num" w:pos="567"/>
        </w:tabs>
        <w:ind w:left="567" w:hanging="567"/>
      </w:pPr>
      <w:rPr>
        <w:rFonts w:ascii="Symbol" w:hAnsi="Symbol" w:hint="default"/>
      </w:rPr>
    </w:lvl>
  </w:abstractNum>
  <w:abstractNum w:abstractNumId="22" w15:restartNumberingAfterBreak="0">
    <w:nsid w:val="661A3ED1"/>
    <w:multiLevelType w:val="hybridMultilevel"/>
    <w:tmpl w:val="42366C30"/>
    <w:lvl w:ilvl="0" w:tplc="0C090001">
      <w:start w:val="1"/>
      <w:numFmt w:val="bullet"/>
      <w:lvlText w:val=""/>
      <w:lvlJc w:val="left"/>
      <w:pPr>
        <w:ind w:left="128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15:restartNumberingAfterBreak="0">
    <w:nsid w:val="6C3F7AED"/>
    <w:multiLevelType w:val="hybridMultilevel"/>
    <w:tmpl w:val="C978A1B8"/>
    <w:lvl w:ilvl="0" w:tplc="7E9C9A64">
      <w:start w:val="1"/>
      <w:numFmt w:val="lowerLetter"/>
      <w:lvlText w:val="%1)"/>
      <w:lvlJc w:val="left"/>
      <w:pPr>
        <w:ind w:left="720" w:hanging="360"/>
      </w:pPr>
      <w:rPr>
        <w:rFonts w:ascii="Times New Roman" w:hAnsi="Times New Roman" w:cs="Times New Roman" w:hint="default"/>
        <w:b w:val="0"/>
        <w:i w:val="0"/>
        <w:sz w:val="26"/>
        <w:szCs w:val="26"/>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543187"/>
    <w:multiLevelType w:val="hybridMultilevel"/>
    <w:tmpl w:val="9CAC22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A170FD6"/>
    <w:multiLevelType w:val="hybridMultilevel"/>
    <w:tmpl w:val="0C1CFD5A"/>
    <w:lvl w:ilvl="0" w:tplc="210418D4">
      <w:start w:val="1"/>
      <w:numFmt w:val="lowerLetter"/>
      <w:lvlText w:val="%1)"/>
      <w:lvlJc w:val="left"/>
      <w:pPr>
        <w:tabs>
          <w:tab w:val="num" w:pos="1080"/>
        </w:tabs>
        <w:ind w:left="1080" w:hanging="360"/>
      </w:pPr>
      <w:rPr>
        <w:rFonts w:hint="default"/>
        <w:b w:val="0"/>
        <w:i w:val="0"/>
        <w:strike w:val="0"/>
      </w:rPr>
    </w:lvl>
    <w:lvl w:ilvl="1" w:tplc="FFFFFFFF">
      <w:start w:val="2"/>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7CA7667E"/>
    <w:multiLevelType w:val="hybridMultilevel"/>
    <w:tmpl w:val="41C0C8CE"/>
    <w:lvl w:ilvl="0" w:tplc="76C49BA2">
      <w:start w:val="1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0A08FF"/>
    <w:multiLevelType w:val="singleLevel"/>
    <w:tmpl w:val="20C690E2"/>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num w:numId="1">
    <w:abstractNumId w:val="6"/>
  </w:num>
  <w:num w:numId="2">
    <w:abstractNumId w:val="8"/>
  </w:num>
  <w:num w:numId="3">
    <w:abstractNumId w:val="12"/>
  </w:num>
  <w:num w:numId="4">
    <w:abstractNumId w:val="24"/>
  </w:num>
  <w:num w:numId="5">
    <w:abstractNumId w:val="4"/>
  </w:num>
  <w:num w:numId="6">
    <w:abstractNumId w:val="17"/>
  </w:num>
  <w:num w:numId="7">
    <w:abstractNumId w:val="17"/>
  </w:num>
  <w:num w:numId="8">
    <w:abstractNumId w:val="3"/>
  </w:num>
  <w:num w:numId="9">
    <w:abstractNumId w:val="10"/>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26"/>
  </w:num>
  <w:num w:numId="15">
    <w:abstractNumId w:val="18"/>
  </w:num>
  <w:num w:numId="16">
    <w:abstractNumId w:val="27"/>
  </w:num>
  <w:num w:numId="17">
    <w:abstractNumId w:val="20"/>
  </w:num>
  <w:num w:numId="18">
    <w:abstractNumId w:val="5"/>
    <w:lvlOverride w:ilvl="0">
      <w:startOverride w:val="1"/>
    </w:lvlOverride>
  </w:num>
  <w:num w:numId="19">
    <w:abstractNumId w:val="9"/>
  </w:num>
  <w:num w:numId="20">
    <w:abstractNumId w:val="25"/>
  </w:num>
  <w:num w:numId="21">
    <w:abstractNumId w:val="21"/>
  </w:num>
  <w:num w:numId="22">
    <w:abstractNumId w:val="14"/>
    <w:lvlOverride w:ilvl="0">
      <w:startOverride w:val="1"/>
    </w:lvlOverride>
  </w:num>
  <w:num w:numId="23">
    <w:abstractNumId w:val="28"/>
    <w:lvlOverride w:ilvl="0">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BR5z9zoHxeDBxFDO9Hz5Jmz61QNTK/sCiiidi74FBV3tLi2aZXuvnmT+Zf0CusyTbpifQ4doiiTlpjDDPCpsg==" w:salt="/DmJGZ62OzH9Rc3YtnL/NQ=="/>
  <w:defaultTabStop w:val="284"/>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03855"/>
    <w:rsid w:val="00005334"/>
    <w:rsid w:val="00014982"/>
    <w:rsid w:val="000232B1"/>
    <w:rsid w:val="00026249"/>
    <w:rsid w:val="00035F9A"/>
    <w:rsid w:val="0004453F"/>
    <w:rsid w:val="00064BDF"/>
    <w:rsid w:val="00065AB0"/>
    <w:rsid w:val="000714E1"/>
    <w:rsid w:val="00072B02"/>
    <w:rsid w:val="000809FC"/>
    <w:rsid w:val="00087B98"/>
    <w:rsid w:val="000A0F66"/>
    <w:rsid w:val="000B5561"/>
    <w:rsid w:val="000C0ACC"/>
    <w:rsid w:val="000C59DD"/>
    <w:rsid w:val="000D54F9"/>
    <w:rsid w:val="000E2A1E"/>
    <w:rsid w:val="000F2FB8"/>
    <w:rsid w:val="00101194"/>
    <w:rsid w:val="001036BE"/>
    <w:rsid w:val="00111A07"/>
    <w:rsid w:val="001221AF"/>
    <w:rsid w:val="00125A96"/>
    <w:rsid w:val="00137705"/>
    <w:rsid w:val="00137C88"/>
    <w:rsid w:val="0015424B"/>
    <w:rsid w:val="001621A2"/>
    <w:rsid w:val="00171622"/>
    <w:rsid w:val="001723A4"/>
    <w:rsid w:val="001773E2"/>
    <w:rsid w:val="0017796C"/>
    <w:rsid w:val="001A381A"/>
    <w:rsid w:val="001B2259"/>
    <w:rsid w:val="001C7E4F"/>
    <w:rsid w:val="001D3341"/>
    <w:rsid w:val="001E3EE9"/>
    <w:rsid w:val="001E5D87"/>
    <w:rsid w:val="00201B4C"/>
    <w:rsid w:val="00203EED"/>
    <w:rsid w:val="002059C7"/>
    <w:rsid w:val="00205F71"/>
    <w:rsid w:val="00207399"/>
    <w:rsid w:val="00207FA0"/>
    <w:rsid w:val="00211344"/>
    <w:rsid w:val="0021666A"/>
    <w:rsid w:val="00222C9D"/>
    <w:rsid w:val="00231ADA"/>
    <w:rsid w:val="00234098"/>
    <w:rsid w:val="002377A4"/>
    <w:rsid w:val="0024452F"/>
    <w:rsid w:val="0024540D"/>
    <w:rsid w:val="00254D2E"/>
    <w:rsid w:val="00273AD2"/>
    <w:rsid w:val="0028202F"/>
    <w:rsid w:val="00284196"/>
    <w:rsid w:val="00286103"/>
    <w:rsid w:val="00294E61"/>
    <w:rsid w:val="002A13AE"/>
    <w:rsid w:val="002D0306"/>
    <w:rsid w:val="002D1649"/>
    <w:rsid w:val="002D1D47"/>
    <w:rsid w:val="002D7990"/>
    <w:rsid w:val="002E3626"/>
    <w:rsid w:val="00305682"/>
    <w:rsid w:val="0031165B"/>
    <w:rsid w:val="003314E3"/>
    <w:rsid w:val="003475AD"/>
    <w:rsid w:val="00350165"/>
    <w:rsid w:val="00367F32"/>
    <w:rsid w:val="00371F8C"/>
    <w:rsid w:val="003838D9"/>
    <w:rsid w:val="00394092"/>
    <w:rsid w:val="003A4320"/>
    <w:rsid w:val="003A5589"/>
    <w:rsid w:val="003C5B25"/>
    <w:rsid w:val="003E0B6C"/>
    <w:rsid w:val="003F246B"/>
    <w:rsid w:val="003F5176"/>
    <w:rsid w:val="004044BC"/>
    <w:rsid w:val="00454E6B"/>
    <w:rsid w:val="00462367"/>
    <w:rsid w:val="00475F4C"/>
    <w:rsid w:val="00481867"/>
    <w:rsid w:val="004844BA"/>
    <w:rsid w:val="004A713E"/>
    <w:rsid w:val="004B6230"/>
    <w:rsid w:val="004C655D"/>
    <w:rsid w:val="004D0FB5"/>
    <w:rsid w:val="004E3A01"/>
    <w:rsid w:val="004E738D"/>
    <w:rsid w:val="004F4044"/>
    <w:rsid w:val="004F7152"/>
    <w:rsid w:val="00504213"/>
    <w:rsid w:val="00511188"/>
    <w:rsid w:val="0052297A"/>
    <w:rsid w:val="00525A12"/>
    <w:rsid w:val="0054004F"/>
    <w:rsid w:val="005521D5"/>
    <w:rsid w:val="00554701"/>
    <w:rsid w:val="00556ED1"/>
    <w:rsid w:val="00564305"/>
    <w:rsid w:val="005672C7"/>
    <w:rsid w:val="00573512"/>
    <w:rsid w:val="005808E8"/>
    <w:rsid w:val="00587EBD"/>
    <w:rsid w:val="00591660"/>
    <w:rsid w:val="005A49DD"/>
    <w:rsid w:val="005B6219"/>
    <w:rsid w:val="005C477C"/>
    <w:rsid w:val="005C579E"/>
    <w:rsid w:val="005C5F9A"/>
    <w:rsid w:val="005D10FA"/>
    <w:rsid w:val="005D13E7"/>
    <w:rsid w:val="005E6BF5"/>
    <w:rsid w:val="00600F2E"/>
    <w:rsid w:val="006031D3"/>
    <w:rsid w:val="00603D5B"/>
    <w:rsid w:val="00622B7E"/>
    <w:rsid w:val="00623794"/>
    <w:rsid w:val="00627141"/>
    <w:rsid w:val="00627C71"/>
    <w:rsid w:val="0064129C"/>
    <w:rsid w:val="00644661"/>
    <w:rsid w:val="006607DE"/>
    <w:rsid w:val="00661A9B"/>
    <w:rsid w:val="00662D82"/>
    <w:rsid w:val="006731F6"/>
    <w:rsid w:val="00675DD7"/>
    <w:rsid w:val="00677787"/>
    <w:rsid w:val="006A30ED"/>
    <w:rsid w:val="006A360C"/>
    <w:rsid w:val="006A5679"/>
    <w:rsid w:val="006B129D"/>
    <w:rsid w:val="006B7884"/>
    <w:rsid w:val="006C52D2"/>
    <w:rsid w:val="006C56A5"/>
    <w:rsid w:val="006C6AB7"/>
    <w:rsid w:val="006C6B58"/>
    <w:rsid w:val="006D5062"/>
    <w:rsid w:val="006E4F25"/>
    <w:rsid w:val="006E549D"/>
    <w:rsid w:val="006E5E88"/>
    <w:rsid w:val="006E65C5"/>
    <w:rsid w:val="006F3782"/>
    <w:rsid w:val="00700259"/>
    <w:rsid w:val="007045B2"/>
    <w:rsid w:val="00704851"/>
    <w:rsid w:val="00717334"/>
    <w:rsid w:val="0071749E"/>
    <w:rsid w:val="007218C7"/>
    <w:rsid w:val="007230A4"/>
    <w:rsid w:val="007339D1"/>
    <w:rsid w:val="00744FD8"/>
    <w:rsid w:val="007462B2"/>
    <w:rsid w:val="00770FFE"/>
    <w:rsid w:val="007714A8"/>
    <w:rsid w:val="00781682"/>
    <w:rsid w:val="0079046B"/>
    <w:rsid w:val="00793D3D"/>
    <w:rsid w:val="007B3AE7"/>
    <w:rsid w:val="007C336C"/>
    <w:rsid w:val="00802879"/>
    <w:rsid w:val="00811796"/>
    <w:rsid w:val="00817271"/>
    <w:rsid w:val="008412E3"/>
    <w:rsid w:val="00845698"/>
    <w:rsid w:val="00846406"/>
    <w:rsid w:val="00847094"/>
    <w:rsid w:val="0085002F"/>
    <w:rsid w:val="00857B34"/>
    <w:rsid w:val="00873900"/>
    <w:rsid w:val="0088283A"/>
    <w:rsid w:val="00894573"/>
    <w:rsid w:val="008A7DB0"/>
    <w:rsid w:val="008B5106"/>
    <w:rsid w:val="008C21C9"/>
    <w:rsid w:val="008D3AF6"/>
    <w:rsid w:val="008D513A"/>
    <w:rsid w:val="008D62AA"/>
    <w:rsid w:val="00905C75"/>
    <w:rsid w:val="00911FB2"/>
    <w:rsid w:val="00912795"/>
    <w:rsid w:val="00913AC8"/>
    <w:rsid w:val="009151FC"/>
    <w:rsid w:val="00927D39"/>
    <w:rsid w:val="00927E91"/>
    <w:rsid w:val="00934FD6"/>
    <w:rsid w:val="00950E2C"/>
    <w:rsid w:val="00951A71"/>
    <w:rsid w:val="00952726"/>
    <w:rsid w:val="0098045F"/>
    <w:rsid w:val="009831C4"/>
    <w:rsid w:val="00987E85"/>
    <w:rsid w:val="00987FF2"/>
    <w:rsid w:val="00991477"/>
    <w:rsid w:val="009A11B0"/>
    <w:rsid w:val="009C1844"/>
    <w:rsid w:val="009E53B5"/>
    <w:rsid w:val="009F6BC1"/>
    <w:rsid w:val="009F7419"/>
    <w:rsid w:val="00A02D93"/>
    <w:rsid w:val="00A05DEC"/>
    <w:rsid w:val="00A10B7A"/>
    <w:rsid w:val="00A11CE4"/>
    <w:rsid w:val="00A12661"/>
    <w:rsid w:val="00A2293B"/>
    <w:rsid w:val="00A24586"/>
    <w:rsid w:val="00A253DA"/>
    <w:rsid w:val="00A2743E"/>
    <w:rsid w:val="00A32B66"/>
    <w:rsid w:val="00A359C1"/>
    <w:rsid w:val="00A53B76"/>
    <w:rsid w:val="00A667B1"/>
    <w:rsid w:val="00A97E03"/>
    <w:rsid w:val="00AC489B"/>
    <w:rsid w:val="00AC7FA6"/>
    <w:rsid w:val="00AD2418"/>
    <w:rsid w:val="00AD28D1"/>
    <w:rsid w:val="00AD5463"/>
    <w:rsid w:val="00AD71B7"/>
    <w:rsid w:val="00AE4268"/>
    <w:rsid w:val="00AE6E02"/>
    <w:rsid w:val="00AF1128"/>
    <w:rsid w:val="00AF32BF"/>
    <w:rsid w:val="00B03F54"/>
    <w:rsid w:val="00B05966"/>
    <w:rsid w:val="00B13EDF"/>
    <w:rsid w:val="00B325C8"/>
    <w:rsid w:val="00B40771"/>
    <w:rsid w:val="00B4364E"/>
    <w:rsid w:val="00B4708A"/>
    <w:rsid w:val="00B514F7"/>
    <w:rsid w:val="00B81329"/>
    <w:rsid w:val="00BB56BF"/>
    <w:rsid w:val="00BE1A8E"/>
    <w:rsid w:val="00BE2C01"/>
    <w:rsid w:val="00BE6563"/>
    <w:rsid w:val="00BF4A49"/>
    <w:rsid w:val="00C10F7E"/>
    <w:rsid w:val="00C16A04"/>
    <w:rsid w:val="00C447C3"/>
    <w:rsid w:val="00C57422"/>
    <w:rsid w:val="00C62255"/>
    <w:rsid w:val="00C65637"/>
    <w:rsid w:val="00C67170"/>
    <w:rsid w:val="00C71C95"/>
    <w:rsid w:val="00C77173"/>
    <w:rsid w:val="00C926BC"/>
    <w:rsid w:val="00C92F91"/>
    <w:rsid w:val="00C93B11"/>
    <w:rsid w:val="00CB1C91"/>
    <w:rsid w:val="00CE43B8"/>
    <w:rsid w:val="00CE70DC"/>
    <w:rsid w:val="00CF35B9"/>
    <w:rsid w:val="00D43583"/>
    <w:rsid w:val="00D51D3A"/>
    <w:rsid w:val="00D54111"/>
    <w:rsid w:val="00D57E34"/>
    <w:rsid w:val="00D63FE8"/>
    <w:rsid w:val="00D67CEC"/>
    <w:rsid w:val="00D71887"/>
    <w:rsid w:val="00D72F27"/>
    <w:rsid w:val="00D74A39"/>
    <w:rsid w:val="00D844E4"/>
    <w:rsid w:val="00D8792C"/>
    <w:rsid w:val="00D91A9F"/>
    <w:rsid w:val="00D93A9E"/>
    <w:rsid w:val="00DA1681"/>
    <w:rsid w:val="00DB0F6C"/>
    <w:rsid w:val="00DC29D8"/>
    <w:rsid w:val="00DC59D4"/>
    <w:rsid w:val="00DE19D3"/>
    <w:rsid w:val="00DE4503"/>
    <w:rsid w:val="00DE6B9C"/>
    <w:rsid w:val="00DE767A"/>
    <w:rsid w:val="00DF1E98"/>
    <w:rsid w:val="00DF437F"/>
    <w:rsid w:val="00DF4F1D"/>
    <w:rsid w:val="00E036F1"/>
    <w:rsid w:val="00E069D4"/>
    <w:rsid w:val="00E248F7"/>
    <w:rsid w:val="00E40E6E"/>
    <w:rsid w:val="00E520F4"/>
    <w:rsid w:val="00E55441"/>
    <w:rsid w:val="00E87F19"/>
    <w:rsid w:val="00E96D79"/>
    <w:rsid w:val="00EA1CE2"/>
    <w:rsid w:val="00EB0F47"/>
    <w:rsid w:val="00EC6A8E"/>
    <w:rsid w:val="00EC70D7"/>
    <w:rsid w:val="00EC7354"/>
    <w:rsid w:val="00ED0C22"/>
    <w:rsid w:val="00ED3523"/>
    <w:rsid w:val="00EE33BF"/>
    <w:rsid w:val="00EE43F4"/>
    <w:rsid w:val="00EF2D12"/>
    <w:rsid w:val="00F03358"/>
    <w:rsid w:val="00F04B7C"/>
    <w:rsid w:val="00F10CF9"/>
    <w:rsid w:val="00F262CB"/>
    <w:rsid w:val="00F340CF"/>
    <w:rsid w:val="00F35597"/>
    <w:rsid w:val="00F36A60"/>
    <w:rsid w:val="00F36A7C"/>
    <w:rsid w:val="00F45F94"/>
    <w:rsid w:val="00F4674D"/>
    <w:rsid w:val="00F47C96"/>
    <w:rsid w:val="00F52177"/>
    <w:rsid w:val="00F7089E"/>
    <w:rsid w:val="00F8249E"/>
    <w:rsid w:val="00FB799B"/>
    <w:rsid w:val="00FB7F37"/>
    <w:rsid w:val="00FC1204"/>
    <w:rsid w:val="00FC407F"/>
    <w:rsid w:val="00FD298A"/>
    <w:rsid w:val="00FF5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471E939"/>
  <w15:chartTrackingRefBased/>
  <w15:docId w15:val="{7F97BF8B-84CC-4640-9F63-3F869026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8"/>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7"/>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link w:val="BodyTextIndent2Char"/>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pPr>
      <w:spacing w:before="100" w:beforeAutospacing="1" w:after="100" w:afterAutospacing="1"/>
    </w:pPr>
    <w:rPr>
      <w:sz w:val="24"/>
      <w:szCs w:val="24"/>
      <w:lang w:eastAsia="en-AU"/>
    </w:rPr>
  </w:style>
  <w:style w:type="character" w:customStyle="1" w:styleId="Para1CharChar">
    <w:name w:val="Para 1 Char Char"/>
    <w:link w:val="Para1"/>
    <w:rPr>
      <w:sz w:val="26"/>
      <w:szCs w:val="26"/>
      <w:lang w:eastAsia="en-US"/>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character" w:customStyle="1" w:styleId="BodyTextIndent2Char">
    <w:name w:val="Body Text Indent 2 Char"/>
    <w:link w:val="BodyTextIndent2"/>
    <w:rsid w:val="00CF35B9"/>
    <w:rPr>
      <w:sz w:val="22"/>
      <w:szCs w:val="22"/>
      <w:lang w:val="en-GB" w:eastAsia="en-US"/>
    </w:rPr>
  </w:style>
  <w:style w:type="paragraph" w:styleId="BodyText">
    <w:name w:val="Body Text"/>
    <w:basedOn w:val="Normal"/>
    <w:link w:val="BodyTextChar"/>
    <w:rsid w:val="008B5106"/>
    <w:pPr>
      <w:spacing w:after="120"/>
    </w:pPr>
  </w:style>
  <w:style w:type="character" w:customStyle="1" w:styleId="BodyTextChar">
    <w:name w:val="Body Text Char"/>
    <w:link w:val="BodyText"/>
    <w:rsid w:val="008B5106"/>
    <w:rPr>
      <w:sz w:val="26"/>
      <w:szCs w:val="26"/>
      <w:lang w:eastAsia="en-US"/>
    </w:rPr>
  </w:style>
  <w:style w:type="paragraph" w:customStyle="1" w:styleId="NumberedParagraph">
    <w:name w:val="NumberedParagraph"/>
    <w:basedOn w:val="Normal"/>
    <w:qFormat/>
    <w:rsid w:val="00847094"/>
    <w:pPr>
      <w:numPr>
        <w:numId w:val="11"/>
      </w:numPr>
      <w:tabs>
        <w:tab w:val="clear" w:pos="360"/>
        <w:tab w:val="num" w:pos="720"/>
      </w:tabs>
      <w:spacing w:after="240"/>
      <w:ind w:left="567" w:right="1134" w:hanging="567"/>
      <w:jc w:val="both"/>
    </w:pPr>
    <w:rPr>
      <w:rFonts w:ascii="Calibri" w:eastAsia="Calibri" w:hAnsi="Calibri" w:cs="Calibri"/>
      <w:color w:val="000000"/>
      <w:sz w:val="24"/>
      <w:szCs w:val="24"/>
      <w:lang w:eastAsia="en-AU"/>
    </w:rPr>
  </w:style>
  <w:style w:type="paragraph" w:customStyle="1" w:styleId="LetterParagraph">
    <w:name w:val="LetterParagraph"/>
    <w:basedOn w:val="Normal"/>
    <w:qFormat/>
    <w:rsid w:val="00847094"/>
    <w:pPr>
      <w:numPr>
        <w:numId w:val="12"/>
      </w:numPr>
      <w:tabs>
        <w:tab w:val="num" w:pos="720"/>
      </w:tabs>
      <w:spacing w:after="240"/>
      <w:ind w:left="1134" w:right="1134" w:hanging="567"/>
      <w:jc w:val="both"/>
    </w:pPr>
    <w:rPr>
      <w:rFonts w:ascii="Calibri" w:eastAsia="Calibri" w:hAnsi="Calibri" w:cs="Calibri"/>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783">
      <w:bodyDiv w:val="1"/>
      <w:marLeft w:val="0"/>
      <w:marRight w:val="0"/>
      <w:marTop w:val="0"/>
      <w:marBottom w:val="0"/>
      <w:divBdr>
        <w:top w:val="none" w:sz="0" w:space="0" w:color="auto"/>
        <w:left w:val="none" w:sz="0" w:space="0" w:color="auto"/>
        <w:bottom w:val="none" w:sz="0" w:space="0" w:color="auto"/>
        <w:right w:val="none" w:sz="0" w:space="0" w:color="auto"/>
      </w:divBdr>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366F-E751-4A50-8056-6350CC8E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DECISION TEMPLATE 2014 Template version.dot</Template>
  <TotalTime>1</TotalTime>
  <Pages>14</Pages>
  <Words>3833</Words>
  <Characters>19951</Characters>
  <Application>Microsoft Office Word</Application>
  <DocSecurity>8</DocSecurity>
  <Lines>166</Lines>
  <Paragraphs>47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Tracy L Watson (CSV)</cp:lastModifiedBy>
  <cp:revision>3</cp:revision>
  <cp:lastPrinted>2020-09-30T02:19:00Z</cp:lastPrinted>
  <dcterms:created xsi:type="dcterms:W3CDTF">2020-09-30T02:55:00Z</dcterms:created>
  <dcterms:modified xsi:type="dcterms:W3CDTF">2020-09-30T02:55:00Z</dcterms:modified>
</cp:coreProperties>
</file>