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CF" w:rsidRDefault="008720B6" w:rsidP="00E200CF">
      <w:pPr>
        <w:pStyle w:val="TitlePage1"/>
      </w:pPr>
      <w:bookmarkStart w:id="0" w:name="_GoBack"/>
      <w:bookmarkEnd w:id="0"/>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rsidTr="00C963CC">
        <w:trPr>
          <w:cantSplit/>
        </w:trPr>
        <w:tc>
          <w:tcPr>
            <w:tcW w:w="2642" w:type="pct"/>
          </w:tcPr>
          <w:p w:rsidR="00E200CF" w:rsidRDefault="00E200CF" w:rsidP="00C963CC">
            <w:pPr>
              <w:pStyle w:val="TitlePage2"/>
            </w:pPr>
            <w:bookmarkStart w:id="2" w:name="SubDivision"/>
            <w:bookmarkEnd w:id="2"/>
            <w:r>
              <w:t>planning and environment LIST</w:t>
            </w:r>
          </w:p>
        </w:tc>
        <w:tc>
          <w:tcPr>
            <w:tcW w:w="2358" w:type="pct"/>
          </w:tcPr>
          <w:p w:rsidR="00E200CF" w:rsidRPr="009F658E" w:rsidRDefault="00E200CF" w:rsidP="00C963CC">
            <w:pPr>
              <w:pStyle w:val="TitlePage3"/>
            </w:pPr>
            <w:bookmarkStart w:id="3" w:name="FileNo1"/>
            <w:bookmarkEnd w:id="3"/>
            <w:r w:rsidRPr="009F658E">
              <w:t>vcat reference No</w:t>
            </w:r>
            <w:r w:rsidR="006B2598" w:rsidRPr="00590AD6">
              <w:rPr>
                <w:noProof/>
              </w:rPr>
              <w:t xml:space="preserve"> P1674/2019</w:t>
            </w:r>
            <w:r w:rsidRPr="009F658E">
              <w:t xml:space="preserve">. </w:t>
            </w:r>
          </w:p>
          <w:p w:rsidR="00E200CF" w:rsidRPr="009F658E" w:rsidRDefault="00E200CF" w:rsidP="00C963CC">
            <w:pPr>
              <w:pStyle w:val="TitlePage3"/>
            </w:pPr>
            <w:r w:rsidRPr="009F658E">
              <w:t>Permit no.</w:t>
            </w:r>
            <w:r w:rsidR="006B2598">
              <w:t>TPA/49895</w:t>
            </w:r>
            <w:r w:rsidRPr="009F658E">
              <w:t xml:space="preserve"> </w:t>
            </w:r>
          </w:p>
        </w:tc>
      </w:tr>
      <w:tr w:rsidR="00E200CF" w:rsidTr="00C963CC">
        <w:tblPrEx>
          <w:jc w:val="center"/>
        </w:tblPrEx>
        <w:trPr>
          <w:cantSplit/>
          <w:jc w:val="center"/>
        </w:trPr>
        <w:tc>
          <w:tcPr>
            <w:tcW w:w="5000" w:type="pct"/>
            <w:gridSpan w:val="2"/>
          </w:tcPr>
          <w:p w:rsidR="00E200CF" w:rsidRDefault="00E200CF" w:rsidP="00C963CC">
            <w:pPr>
              <w:pStyle w:val="TitlePage2"/>
              <w:jc w:val="center"/>
            </w:pPr>
            <w:r>
              <w:t>CATCHWORDS</w:t>
            </w:r>
          </w:p>
        </w:tc>
      </w:tr>
      <w:tr w:rsidR="00E200CF" w:rsidTr="00C963CC">
        <w:tblPrEx>
          <w:jc w:val="center"/>
        </w:tblPrEx>
        <w:trPr>
          <w:cantSplit/>
          <w:jc w:val="center"/>
        </w:trPr>
        <w:tc>
          <w:tcPr>
            <w:tcW w:w="5000" w:type="pct"/>
            <w:gridSpan w:val="2"/>
          </w:tcPr>
          <w:p w:rsidR="00E200CF" w:rsidRDefault="006B2598" w:rsidP="00C963CC">
            <w:pPr>
              <w:pStyle w:val="Catchwords"/>
            </w:pPr>
            <w:r w:rsidRPr="006204C0">
              <w:t xml:space="preserve">S80 of Planning and Environment Act 1987, review of condition, jurisdiction of Tribunal, condition redundant, not reflecting application plans </w:t>
            </w:r>
            <w:r w:rsidR="00E200CF" w:rsidRPr="006204C0">
              <w:t xml:space="preserve">     </w:t>
            </w:r>
          </w:p>
        </w:tc>
      </w:tr>
    </w:tbl>
    <w:p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5D14C9" w:rsidTr="00C963CC">
        <w:tc>
          <w:tcPr>
            <w:tcW w:w="2084" w:type="pct"/>
          </w:tcPr>
          <w:p w:rsidR="005D14C9" w:rsidRDefault="005D14C9" w:rsidP="005D14C9">
            <w:pPr>
              <w:pStyle w:val="TitlePage2"/>
            </w:pPr>
            <w:bookmarkStart w:id="5" w:name="DELcomplainants2"/>
            <w:bookmarkStart w:id="6" w:name="DELapp"/>
            <w:bookmarkStart w:id="7" w:name="DELitmo"/>
            <w:bookmarkStart w:id="8" w:name="DELcar"/>
            <w:r>
              <w:t>APPLICANT</w:t>
            </w:r>
          </w:p>
        </w:tc>
        <w:tc>
          <w:tcPr>
            <w:tcW w:w="2916" w:type="pct"/>
          </w:tcPr>
          <w:p w:rsidR="005D14C9" w:rsidRPr="00D660C2" w:rsidRDefault="005D14C9" w:rsidP="005D14C9">
            <w:pPr>
              <w:pStyle w:val="TitlePagetext"/>
            </w:pPr>
            <w:bookmarkStart w:id="9" w:name="Applicant"/>
            <w:bookmarkEnd w:id="9"/>
            <w:r w:rsidRPr="00590AD6">
              <w:rPr>
                <w:noProof/>
              </w:rPr>
              <w:t>Paul Delaney Pty Ltd Architects</w:t>
            </w:r>
          </w:p>
        </w:tc>
      </w:tr>
      <w:tr w:rsidR="005D14C9" w:rsidTr="00C963CC">
        <w:tc>
          <w:tcPr>
            <w:tcW w:w="2084" w:type="pct"/>
          </w:tcPr>
          <w:p w:rsidR="005D14C9" w:rsidRDefault="005D14C9" w:rsidP="005D14C9">
            <w:pPr>
              <w:pStyle w:val="TitlePage2"/>
            </w:pPr>
            <w:r>
              <w:t>responsible authority</w:t>
            </w:r>
          </w:p>
        </w:tc>
        <w:tc>
          <w:tcPr>
            <w:tcW w:w="2916" w:type="pct"/>
          </w:tcPr>
          <w:p w:rsidR="005D14C9" w:rsidRPr="00D660C2" w:rsidRDefault="005D14C9" w:rsidP="005D14C9">
            <w:pPr>
              <w:pStyle w:val="TitlePagetext"/>
            </w:pPr>
            <w:r w:rsidRPr="00590AD6">
              <w:rPr>
                <w:noProof/>
              </w:rPr>
              <w:t>Monash City Council</w:t>
            </w:r>
          </w:p>
        </w:tc>
      </w:tr>
      <w:tr w:rsidR="005D14C9" w:rsidTr="00C963CC">
        <w:tc>
          <w:tcPr>
            <w:tcW w:w="2084" w:type="pct"/>
          </w:tcPr>
          <w:p w:rsidR="005D14C9" w:rsidRDefault="005D14C9" w:rsidP="005D14C9">
            <w:pPr>
              <w:pStyle w:val="TitlePage2"/>
            </w:pPr>
            <w:bookmarkStart w:id="10" w:name="DELrespondents2"/>
            <w:bookmarkEnd w:id="5"/>
            <w:bookmarkEnd w:id="6"/>
            <w:r>
              <w:t>RESPONDENT</w:t>
            </w:r>
          </w:p>
        </w:tc>
        <w:tc>
          <w:tcPr>
            <w:tcW w:w="2916" w:type="pct"/>
          </w:tcPr>
          <w:p w:rsidR="005D14C9" w:rsidRPr="00D660C2" w:rsidRDefault="005D14C9" w:rsidP="005D14C9">
            <w:pPr>
              <w:pStyle w:val="TitlePagetext"/>
            </w:pPr>
            <w:bookmarkStart w:id="11" w:name="Respondent"/>
            <w:bookmarkEnd w:id="11"/>
            <w:r w:rsidRPr="00590AD6">
              <w:rPr>
                <w:noProof/>
              </w:rPr>
              <w:t>John and Margot Hillel, Helen Cecile Clements, The Friends of Damper Creek Reserve Inc. Mt Waverley (FODCR)</w:t>
            </w:r>
          </w:p>
        </w:tc>
      </w:tr>
      <w:tr w:rsidR="005D14C9" w:rsidTr="00C963CC">
        <w:tc>
          <w:tcPr>
            <w:tcW w:w="2084" w:type="pct"/>
          </w:tcPr>
          <w:p w:rsidR="005D14C9" w:rsidRDefault="005D14C9" w:rsidP="005D14C9">
            <w:pPr>
              <w:pStyle w:val="TitlePage2"/>
            </w:pPr>
            <w:bookmarkStart w:id="12" w:name="DELsubjectland"/>
            <w:r>
              <w:t>SUBJECT LAND</w:t>
            </w:r>
          </w:p>
        </w:tc>
        <w:tc>
          <w:tcPr>
            <w:tcW w:w="2916" w:type="pct"/>
          </w:tcPr>
          <w:p w:rsidR="005D14C9" w:rsidRPr="00D660C2" w:rsidRDefault="005D14C9" w:rsidP="005D14C9">
            <w:pPr>
              <w:pStyle w:val="TitlePagetext"/>
            </w:pPr>
            <w:bookmarkStart w:id="13" w:name="subjectland"/>
            <w:bookmarkEnd w:id="13"/>
            <w:r w:rsidRPr="00590AD6">
              <w:rPr>
                <w:noProof/>
              </w:rPr>
              <w:t>28B Park Road</w:t>
            </w:r>
            <w:r>
              <w:rPr>
                <w:noProof/>
              </w:rPr>
              <w:br/>
            </w:r>
            <w:r w:rsidRPr="00590AD6">
              <w:rPr>
                <w:noProof/>
              </w:rPr>
              <w:t>MOUNT WAVERLEY  VIC  3149</w:t>
            </w:r>
          </w:p>
        </w:tc>
      </w:tr>
      <w:tr w:rsidR="00E200CF" w:rsidTr="00C963CC">
        <w:tc>
          <w:tcPr>
            <w:tcW w:w="2084" w:type="pct"/>
          </w:tcPr>
          <w:p w:rsidR="00E200CF" w:rsidRDefault="00E200CF" w:rsidP="00C963CC">
            <w:pPr>
              <w:pStyle w:val="TitlePage2"/>
            </w:pPr>
            <w:bookmarkStart w:id="14" w:name="INSresponsibleAuthority"/>
            <w:bookmarkEnd w:id="7"/>
            <w:bookmarkEnd w:id="8"/>
            <w:bookmarkEnd w:id="10"/>
            <w:bookmarkEnd w:id="12"/>
            <w:bookmarkEnd w:id="14"/>
            <w:r>
              <w:t>WHERE HELD</w:t>
            </w:r>
          </w:p>
        </w:tc>
        <w:tc>
          <w:tcPr>
            <w:tcW w:w="2916" w:type="pct"/>
          </w:tcPr>
          <w:p w:rsidR="00E200CF" w:rsidRDefault="00E200CF" w:rsidP="00C963CC">
            <w:pPr>
              <w:pStyle w:val="TitlePagetext"/>
            </w:pPr>
            <w:bookmarkStart w:id="15" w:name="Location"/>
            <w:bookmarkEnd w:id="15"/>
            <w:r>
              <w:t>Melbourne</w:t>
            </w:r>
          </w:p>
        </w:tc>
      </w:tr>
      <w:tr w:rsidR="00E200CF" w:rsidTr="00C963CC">
        <w:tc>
          <w:tcPr>
            <w:tcW w:w="2084" w:type="pct"/>
          </w:tcPr>
          <w:p w:rsidR="00E200CF" w:rsidRDefault="00E200CF" w:rsidP="00C963CC">
            <w:pPr>
              <w:pStyle w:val="TitlePage2"/>
            </w:pPr>
            <w:r>
              <w:t>BEFORE</w:t>
            </w:r>
          </w:p>
        </w:tc>
        <w:tc>
          <w:tcPr>
            <w:tcW w:w="2916" w:type="pct"/>
          </w:tcPr>
          <w:p w:rsidR="00E200CF" w:rsidRDefault="005D14C9" w:rsidP="00C963CC">
            <w:pPr>
              <w:pStyle w:val="TitlePagetext"/>
            </w:pPr>
            <w:bookmarkStart w:id="16" w:name="Before"/>
            <w:bookmarkEnd w:id="16"/>
            <w:r>
              <w:t>Nicholas Hadjigeorgiou, Member</w:t>
            </w:r>
          </w:p>
        </w:tc>
      </w:tr>
      <w:tr w:rsidR="00E200CF" w:rsidTr="00C963CC">
        <w:tc>
          <w:tcPr>
            <w:tcW w:w="2084" w:type="pct"/>
          </w:tcPr>
          <w:p w:rsidR="00E200CF" w:rsidRDefault="00E200CF" w:rsidP="00C963CC">
            <w:pPr>
              <w:pStyle w:val="TitlePage2"/>
            </w:pPr>
            <w:r>
              <w:t>HEARING TYPE</w:t>
            </w:r>
          </w:p>
        </w:tc>
        <w:tc>
          <w:tcPr>
            <w:tcW w:w="2916" w:type="pct"/>
          </w:tcPr>
          <w:p w:rsidR="00E200CF" w:rsidRDefault="005D14C9" w:rsidP="00C963CC">
            <w:pPr>
              <w:pStyle w:val="TitlePagetext"/>
            </w:pPr>
            <w:bookmarkStart w:id="17" w:name="HearingType"/>
            <w:bookmarkEnd w:id="17"/>
            <w:r>
              <w:t xml:space="preserve">Merits </w:t>
            </w:r>
            <w:r w:rsidR="009F658E">
              <w:t xml:space="preserve">Hearing </w:t>
            </w:r>
          </w:p>
        </w:tc>
      </w:tr>
      <w:tr w:rsidR="00E200CF" w:rsidTr="00C963CC">
        <w:tc>
          <w:tcPr>
            <w:tcW w:w="2084" w:type="pct"/>
          </w:tcPr>
          <w:p w:rsidR="00E200CF" w:rsidRDefault="00E200CF" w:rsidP="00C963CC">
            <w:pPr>
              <w:pStyle w:val="TitlePage2"/>
            </w:pPr>
            <w:r>
              <w:t>DATE OF HEARING</w:t>
            </w:r>
          </w:p>
        </w:tc>
        <w:tc>
          <w:tcPr>
            <w:tcW w:w="2916" w:type="pct"/>
          </w:tcPr>
          <w:p w:rsidR="00E200CF" w:rsidRDefault="005D14C9" w:rsidP="00C963CC">
            <w:pPr>
              <w:pStyle w:val="TitlePagetext"/>
            </w:pPr>
            <w:bookmarkStart w:id="18" w:name="HearingDate"/>
            <w:bookmarkEnd w:id="18"/>
            <w:r>
              <w:t>6 December 2019</w:t>
            </w:r>
          </w:p>
        </w:tc>
      </w:tr>
      <w:tr w:rsidR="00E200CF" w:rsidTr="00C963CC">
        <w:tc>
          <w:tcPr>
            <w:tcW w:w="2084" w:type="pct"/>
          </w:tcPr>
          <w:p w:rsidR="00E200CF" w:rsidRDefault="00E200CF" w:rsidP="00C963CC">
            <w:pPr>
              <w:pStyle w:val="TitlePage2"/>
            </w:pPr>
            <w:r>
              <w:t>DATE OF ORDER</w:t>
            </w:r>
          </w:p>
        </w:tc>
        <w:tc>
          <w:tcPr>
            <w:tcW w:w="2916" w:type="pct"/>
          </w:tcPr>
          <w:p w:rsidR="00E200CF" w:rsidRDefault="005D14C9" w:rsidP="00C963CC">
            <w:pPr>
              <w:pStyle w:val="TitlePagetext"/>
            </w:pPr>
            <w:bookmarkStart w:id="19" w:name="DateOrder"/>
            <w:bookmarkEnd w:id="19"/>
            <w:r>
              <w:t>6 December 2019</w:t>
            </w:r>
          </w:p>
        </w:tc>
      </w:tr>
      <w:tr w:rsidR="00E200CF" w:rsidTr="00C963CC">
        <w:tc>
          <w:tcPr>
            <w:tcW w:w="2084" w:type="pct"/>
          </w:tcPr>
          <w:p w:rsidR="00E200CF" w:rsidRDefault="00E200CF" w:rsidP="00C963CC">
            <w:pPr>
              <w:pStyle w:val="TitlePage2"/>
            </w:pPr>
            <w:r>
              <w:t>CITATION</w:t>
            </w:r>
          </w:p>
        </w:tc>
        <w:tc>
          <w:tcPr>
            <w:tcW w:w="2916" w:type="pct"/>
          </w:tcPr>
          <w:p w:rsidR="00E200CF" w:rsidRDefault="00E200CF" w:rsidP="00C963CC">
            <w:pPr>
              <w:pStyle w:val="TitlePagetext"/>
            </w:pPr>
          </w:p>
        </w:tc>
      </w:tr>
    </w:tbl>
    <w:p w:rsidR="00E200CF" w:rsidRDefault="00E200CF" w:rsidP="00E200CF"/>
    <w:p w:rsidR="00E200CF" w:rsidRDefault="00E200CF" w:rsidP="00E200CF">
      <w:pPr>
        <w:pStyle w:val="Heading1"/>
      </w:pPr>
      <w:r>
        <w:t>Order</w:t>
      </w:r>
    </w:p>
    <w:p w:rsidR="00E200CF" w:rsidRPr="00D977A5" w:rsidRDefault="00E200CF" w:rsidP="00E200CF">
      <w:pPr>
        <w:pStyle w:val="Order2"/>
      </w:pPr>
      <w:r w:rsidRPr="00D977A5">
        <w:t xml:space="preserve">The decision of the responsible authority is varied.  </w:t>
      </w:r>
    </w:p>
    <w:p w:rsidR="00E200CF" w:rsidRPr="00D977A5" w:rsidRDefault="00E200CF" w:rsidP="00E200CF">
      <w:pPr>
        <w:pStyle w:val="Order2"/>
      </w:pPr>
      <w:r w:rsidRPr="00D977A5">
        <w:t xml:space="preserve">The Tribunal directs that planning permit </w:t>
      </w:r>
      <w:r w:rsidR="005D14C9">
        <w:t xml:space="preserve">TPA/49895 </w:t>
      </w:r>
      <w:r w:rsidRPr="00D977A5">
        <w:t xml:space="preserve">must contain the conditions set out in planning permit </w:t>
      </w:r>
      <w:r w:rsidR="005D14C9">
        <w:t xml:space="preserve">TPA/49895 </w:t>
      </w:r>
      <w:r w:rsidRPr="00D977A5">
        <w:t>issued by the responsible authority on</w:t>
      </w:r>
      <w:r w:rsidR="005D14C9">
        <w:t xml:space="preserve"> 9 July 2019</w:t>
      </w:r>
      <w:r w:rsidRPr="00D977A5">
        <w:t xml:space="preserve"> with the following modifications:</w:t>
      </w:r>
    </w:p>
    <w:p w:rsidR="00E200CF" w:rsidRPr="00D977A5" w:rsidRDefault="00E200CF" w:rsidP="00E200CF">
      <w:pPr>
        <w:pStyle w:val="Order2"/>
        <w:numPr>
          <w:ilvl w:val="1"/>
          <w:numId w:val="8"/>
        </w:numPr>
      </w:pPr>
      <w:r w:rsidRPr="00D977A5">
        <w:t>Condition</w:t>
      </w:r>
      <w:r w:rsidR="005D14C9">
        <w:t xml:space="preserve"> 1a)</w:t>
      </w:r>
      <w:r w:rsidRPr="00D977A5">
        <w:t xml:space="preserve"> is deleted.</w:t>
      </w:r>
    </w:p>
    <w:p w:rsidR="00E200CF" w:rsidRPr="00BC04E1" w:rsidRDefault="00E200CF" w:rsidP="00E200CF">
      <w:pPr>
        <w:pStyle w:val="Order2"/>
        <w:numPr>
          <w:ilvl w:val="1"/>
          <w:numId w:val="8"/>
        </w:numPr>
      </w:pPr>
      <w:r w:rsidRPr="00BC04E1">
        <w:t>Conditions in the planning permit are renumbered accordingly.</w:t>
      </w:r>
    </w:p>
    <w:p w:rsidR="00E200CF" w:rsidRPr="00BC04E1" w:rsidRDefault="00E200CF" w:rsidP="00E200CF">
      <w:pPr>
        <w:pStyle w:val="Order2"/>
      </w:pPr>
      <w:r w:rsidRPr="00BC04E1">
        <w:t xml:space="preserve">The responsible authority is directed to issue a modified planning permit in accordance with this order. </w:t>
      </w:r>
    </w:p>
    <w:p w:rsidR="00E200CF" w:rsidRDefault="00E200CF" w:rsidP="00E200CF"/>
    <w:p w:rsidR="005D14C9" w:rsidRDefault="005D14C9" w:rsidP="00E200CF"/>
    <w:p w:rsidR="005D14C9" w:rsidRDefault="005D14C9" w:rsidP="00E200CF"/>
    <w:p w:rsidR="00E200CF" w:rsidRDefault="005D14C9" w:rsidP="00E200CF">
      <w:r>
        <w:t>Nicholas Hadjigeorgiou</w:t>
      </w:r>
    </w:p>
    <w:p w:rsidR="005D14C9" w:rsidRDefault="005D14C9" w:rsidP="00E200CF">
      <w:r>
        <w:t>Member</w:t>
      </w:r>
    </w:p>
    <w:p w:rsidR="00E200CF" w:rsidRDefault="008720B6" w:rsidP="00E200CF">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E200CF" w:rsidRDefault="00E200CF" w:rsidP="00E200CF"/>
    <w:p w:rsidR="00E200CF" w:rsidRDefault="00E200CF" w:rsidP="00E200CF"/>
    <w:p w:rsidR="00E200CF" w:rsidRDefault="00E200CF" w:rsidP="00E200CF">
      <w:pPr>
        <w:pStyle w:val="Heading1"/>
        <w:rPr>
          <w:highlight w:val="yellow"/>
        </w:rPr>
      </w:pPr>
      <w:bookmarkStart w:id="20" w:name="DELappearances"/>
      <w:r>
        <w:t>Appearances</w:t>
      </w:r>
    </w:p>
    <w:tbl>
      <w:tblPr>
        <w:tblW w:w="5000" w:type="pct"/>
        <w:tblLook w:val="0000" w:firstRow="0" w:lastRow="0" w:firstColumn="0" w:lastColumn="0" w:noHBand="0" w:noVBand="0"/>
      </w:tblPr>
      <w:tblGrid>
        <w:gridCol w:w="3441"/>
        <w:gridCol w:w="5064"/>
      </w:tblGrid>
      <w:tr w:rsidR="00E200CF" w:rsidTr="00C963CC">
        <w:trPr>
          <w:cantSplit/>
        </w:trPr>
        <w:tc>
          <w:tcPr>
            <w:tcW w:w="2023" w:type="pct"/>
          </w:tcPr>
          <w:p w:rsidR="00E200CF" w:rsidRDefault="00E200CF" w:rsidP="00C963CC">
            <w:pPr>
              <w:pStyle w:val="TitlePagetext"/>
            </w:pPr>
            <w:r>
              <w:t>For applicant</w:t>
            </w:r>
          </w:p>
        </w:tc>
        <w:tc>
          <w:tcPr>
            <w:tcW w:w="2977" w:type="pct"/>
          </w:tcPr>
          <w:p w:rsidR="00E200CF" w:rsidRDefault="005D14C9" w:rsidP="00C963CC">
            <w:pPr>
              <w:pStyle w:val="TitlePagetext"/>
            </w:pPr>
            <w:r>
              <w:t>Mr Daniel Bowden, Town Planner, Song Bowden Planning</w:t>
            </w:r>
          </w:p>
        </w:tc>
      </w:tr>
      <w:tr w:rsidR="00E200CF" w:rsidTr="00C963CC">
        <w:trPr>
          <w:cantSplit/>
        </w:trPr>
        <w:tc>
          <w:tcPr>
            <w:tcW w:w="2023" w:type="pct"/>
          </w:tcPr>
          <w:p w:rsidR="00E200CF" w:rsidRDefault="00E200CF" w:rsidP="00C963CC">
            <w:pPr>
              <w:pStyle w:val="TitlePagetext"/>
            </w:pPr>
            <w:r>
              <w:t>For responsible authority</w:t>
            </w:r>
          </w:p>
        </w:tc>
        <w:tc>
          <w:tcPr>
            <w:tcW w:w="2977" w:type="pct"/>
          </w:tcPr>
          <w:p w:rsidR="00E200CF" w:rsidRDefault="005D14C9" w:rsidP="00C963CC">
            <w:pPr>
              <w:pStyle w:val="TitlePagetext"/>
            </w:pPr>
            <w:r>
              <w:t>Mr Gerard Gilfedder, Town Planner, Currie &amp; Brown</w:t>
            </w:r>
          </w:p>
        </w:tc>
      </w:tr>
      <w:tr w:rsidR="00E200CF" w:rsidTr="00C963CC">
        <w:trPr>
          <w:cantSplit/>
        </w:trPr>
        <w:tc>
          <w:tcPr>
            <w:tcW w:w="2023" w:type="pct"/>
          </w:tcPr>
          <w:p w:rsidR="00E200CF" w:rsidRDefault="00E200CF" w:rsidP="00C963CC">
            <w:pPr>
              <w:pStyle w:val="TitlePagetext"/>
            </w:pPr>
          </w:p>
        </w:tc>
        <w:tc>
          <w:tcPr>
            <w:tcW w:w="2977" w:type="pct"/>
          </w:tcPr>
          <w:p w:rsidR="00E200CF" w:rsidRDefault="00E200CF" w:rsidP="00C963CC">
            <w:pPr>
              <w:pStyle w:val="TitlePagetext"/>
            </w:pPr>
          </w:p>
        </w:tc>
      </w:tr>
      <w:tr w:rsidR="00E200CF" w:rsidTr="00C963CC">
        <w:trPr>
          <w:cantSplit/>
        </w:trPr>
        <w:tc>
          <w:tcPr>
            <w:tcW w:w="2023" w:type="pct"/>
          </w:tcPr>
          <w:p w:rsidR="00E200CF" w:rsidRDefault="00E200CF" w:rsidP="00C963CC">
            <w:pPr>
              <w:pStyle w:val="TitlePagetext"/>
            </w:pPr>
            <w:r>
              <w:t>For respondent</w:t>
            </w:r>
            <w:bookmarkStart w:id="21" w:name="FORres"/>
            <w:bookmarkEnd w:id="21"/>
          </w:p>
        </w:tc>
        <w:tc>
          <w:tcPr>
            <w:tcW w:w="2977" w:type="pct"/>
          </w:tcPr>
          <w:p w:rsidR="00E200CF" w:rsidRDefault="005D14C9" w:rsidP="00C963CC">
            <w:pPr>
              <w:pStyle w:val="TitlePagetext"/>
            </w:pPr>
            <w:bookmarkStart w:id="22" w:name="APPres"/>
            <w:bookmarkEnd w:id="22"/>
            <w:r>
              <w:rPr>
                <w:noProof/>
              </w:rPr>
              <w:t xml:space="preserve">Professor </w:t>
            </w:r>
            <w:r w:rsidRPr="00590AD6">
              <w:rPr>
                <w:noProof/>
              </w:rPr>
              <w:t xml:space="preserve">Margot Hillel, </w:t>
            </w:r>
            <w:r>
              <w:rPr>
                <w:noProof/>
              </w:rPr>
              <w:t xml:space="preserve">and </w:t>
            </w:r>
            <w:r w:rsidRPr="00590AD6">
              <w:rPr>
                <w:noProof/>
              </w:rPr>
              <w:t xml:space="preserve">Helen Cecile Clements </w:t>
            </w:r>
            <w:r>
              <w:rPr>
                <w:noProof/>
              </w:rPr>
              <w:t xml:space="preserve">in person, and Mr Douglas Scott on behalf of </w:t>
            </w:r>
            <w:r w:rsidRPr="00590AD6">
              <w:rPr>
                <w:noProof/>
              </w:rPr>
              <w:t>The Friends of Damper Creek Reserve Inc. Mt Waverley (FODCR)</w:t>
            </w:r>
          </w:p>
        </w:tc>
      </w:tr>
      <w:bookmarkEnd w:id="20"/>
    </w:tbl>
    <w:p w:rsidR="00E200CF" w:rsidRPr="00303C52" w:rsidRDefault="00E200CF" w:rsidP="00E200CF">
      <w:pPr>
        <w:pStyle w:val="Order1"/>
        <w:rPr>
          <w:color w:val="2E74B5"/>
        </w:rPr>
      </w:pPr>
    </w:p>
    <w:p w:rsidR="00E200CF" w:rsidRDefault="00E200CF" w:rsidP="00E200CF"/>
    <w:p w:rsidR="00E200CF" w:rsidRDefault="00E200CF" w:rsidP="00E200CF"/>
    <w:p w:rsidR="00E200CF" w:rsidRDefault="00E200CF" w:rsidP="00E200CF"/>
    <w:p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rsidTr="00C963CC">
        <w:trPr>
          <w:cantSplit/>
        </w:trPr>
        <w:tc>
          <w:tcPr>
            <w:tcW w:w="1924" w:type="pct"/>
          </w:tcPr>
          <w:p w:rsidR="00E200CF" w:rsidRDefault="00E200CF" w:rsidP="00C963CC">
            <w:pPr>
              <w:pStyle w:val="TitlePagetext"/>
            </w:pPr>
            <w:r>
              <w:t>Description of proposal</w:t>
            </w:r>
          </w:p>
        </w:tc>
        <w:tc>
          <w:tcPr>
            <w:tcW w:w="3076" w:type="pct"/>
          </w:tcPr>
          <w:p w:rsidR="00E200CF" w:rsidRPr="00851E10" w:rsidRDefault="00E81903" w:rsidP="00C963CC">
            <w:pPr>
              <w:pStyle w:val="TitlePagetext"/>
            </w:pPr>
            <w:r>
              <w:t>Extension to a dwelling on a lot less than 500sqm</w:t>
            </w:r>
          </w:p>
        </w:tc>
      </w:tr>
      <w:tr w:rsidR="00E200CF" w:rsidTr="00C963CC">
        <w:trPr>
          <w:cantSplit/>
        </w:trPr>
        <w:tc>
          <w:tcPr>
            <w:tcW w:w="1924" w:type="pct"/>
          </w:tcPr>
          <w:p w:rsidR="00E200CF" w:rsidRDefault="00E200CF" w:rsidP="00C963CC">
            <w:pPr>
              <w:pStyle w:val="TitlePagetext"/>
            </w:pPr>
            <w:r>
              <w:t>Nature of proceeding</w:t>
            </w:r>
          </w:p>
        </w:tc>
        <w:tc>
          <w:tcPr>
            <w:tcW w:w="3076" w:type="pct"/>
          </w:tcPr>
          <w:p w:rsidR="000003F2" w:rsidRDefault="000003F2" w:rsidP="000003F2">
            <w:pPr>
              <w:pStyle w:val="TitlePagetext"/>
            </w:pPr>
            <w:r>
              <w:t xml:space="preserve">Application under section 80 of the </w:t>
            </w:r>
            <w:r>
              <w:rPr>
                <w:i/>
              </w:rPr>
              <w:t>Planning and Environment Act 1987</w:t>
            </w:r>
            <w:r>
              <w:t xml:space="preserve"> – to review the conditions contained in the permit.</w:t>
            </w:r>
          </w:p>
          <w:p w:rsidR="00E200CF" w:rsidRPr="00851E10" w:rsidRDefault="00E200CF" w:rsidP="005D14C9"/>
        </w:tc>
      </w:tr>
      <w:tr w:rsidR="00E200CF" w:rsidTr="00C963CC">
        <w:trPr>
          <w:cantSplit/>
        </w:trPr>
        <w:tc>
          <w:tcPr>
            <w:tcW w:w="1924" w:type="pct"/>
          </w:tcPr>
          <w:p w:rsidR="00E200CF" w:rsidRPr="005C699E" w:rsidRDefault="00E200CF" w:rsidP="00C963CC">
            <w:pPr>
              <w:pStyle w:val="TitlePagetext"/>
            </w:pPr>
            <w:r>
              <w:t>Planning scheme</w:t>
            </w:r>
          </w:p>
        </w:tc>
        <w:tc>
          <w:tcPr>
            <w:tcW w:w="3076" w:type="pct"/>
          </w:tcPr>
          <w:p w:rsidR="00E200CF" w:rsidRPr="00851E10" w:rsidRDefault="00E81903" w:rsidP="00C963CC">
            <w:pPr>
              <w:pStyle w:val="TitlePagetext"/>
            </w:pPr>
            <w:r>
              <w:t>Monash Planning Scheme</w:t>
            </w:r>
          </w:p>
        </w:tc>
      </w:tr>
      <w:tr w:rsidR="00E200CF" w:rsidTr="00C963CC">
        <w:trPr>
          <w:cantSplit/>
        </w:trPr>
        <w:tc>
          <w:tcPr>
            <w:tcW w:w="1924" w:type="pct"/>
          </w:tcPr>
          <w:p w:rsidR="00E200CF" w:rsidRDefault="00E200CF" w:rsidP="00C963CC">
            <w:pPr>
              <w:pStyle w:val="TitlePagetext"/>
            </w:pPr>
            <w:r w:rsidRPr="005C699E">
              <w:t xml:space="preserve">Zone and </w:t>
            </w:r>
            <w:r>
              <w:t>o</w:t>
            </w:r>
            <w:r w:rsidRPr="005C699E">
              <w:t>verlays</w:t>
            </w:r>
          </w:p>
        </w:tc>
        <w:tc>
          <w:tcPr>
            <w:tcW w:w="3076" w:type="pct"/>
          </w:tcPr>
          <w:p w:rsidR="00E200CF" w:rsidRPr="00851E10" w:rsidRDefault="00E81903" w:rsidP="00C963CC">
            <w:pPr>
              <w:pStyle w:val="TitlePagetext"/>
            </w:pPr>
            <w:r>
              <w:t>Neighbourhood Residential Zone Schedule 2(NRZ2), Vegetation Protection Overlay Schedule 1(VPO1)</w:t>
            </w:r>
          </w:p>
        </w:tc>
      </w:tr>
      <w:tr w:rsidR="00E200CF" w:rsidTr="00C963CC">
        <w:trPr>
          <w:cantSplit/>
        </w:trPr>
        <w:tc>
          <w:tcPr>
            <w:tcW w:w="1924" w:type="pct"/>
          </w:tcPr>
          <w:p w:rsidR="00E200CF" w:rsidRPr="005C699E" w:rsidRDefault="00E200CF" w:rsidP="00C963CC">
            <w:pPr>
              <w:pStyle w:val="TitlePagetext"/>
            </w:pPr>
            <w:r>
              <w:t>Permit requirements</w:t>
            </w:r>
          </w:p>
        </w:tc>
        <w:tc>
          <w:tcPr>
            <w:tcW w:w="3076" w:type="pct"/>
          </w:tcPr>
          <w:p w:rsidR="00C1567D" w:rsidRPr="00C1567D" w:rsidRDefault="00F02A1F" w:rsidP="00C963CC">
            <w:pPr>
              <w:pStyle w:val="TitlePagetext"/>
            </w:pPr>
            <w:r>
              <w:t xml:space="preserve"> </w:t>
            </w:r>
            <w:r w:rsidR="00E81903">
              <w:t>Clause 32.09 &amp; schedule 2</w:t>
            </w:r>
          </w:p>
        </w:tc>
      </w:tr>
      <w:tr w:rsidR="000003F2" w:rsidTr="00C963CC">
        <w:trPr>
          <w:cantSplit/>
        </w:trPr>
        <w:tc>
          <w:tcPr>
            <w:tcW w:w="1924" w:type="pct"/>
          </w:tcPr>
          <w:p w:rsidR="000003F2" w:rsidRDefault="000003F2" w:rsidP="00C963CC">
            <w:pPr>
              <w:pStyle w:val="TitlePagetext"/>
            </w:pPr>
            <w:r>
              <w:t>Relevant scheme policies and provisions</w:t>
            </w:r>
          </w:p>
        </w:tc>
        <w:tc>
          <w:tcPr>
            <w:tcW w:w="3076" w:type="pct"/>
          </w:tcPr>
          <w:p w:rsidR="000003F2" w:rsidRPr="00851E10" w:rsidRDefault="00E81903" w:rsidP="00C963CC">
            <w:pPr>
              <w:pStyle w:val="TitlePagetext"/>
            </w:pPr>
            <w:r>
              <w:t>Clauses 21.01 - 04, 22.01,22.05, 32.09 &amp; schedule 2, 54,65.</w:t>
            </w:r>
          </w:p>
        </w:tc>
      </w:tr>
      <w:tr w:rsidR="00E200CF" w:rsidTr="00C963CC">
        <w:trPr>
          <w:cantSplit/>
        </w:trPr>
        <w:tc>
          <w:tcPr>
            <w:tcW w:w="1924" w:type="pct"/>
          </w:tcPr>
          <w:p w:rsidR="00E200CF" w:rsidRDefault="00E200CF" w:rsidP="00C963CC">
            <w:pPr>
              <w:pStyle w:val="TitlePagetext"/>
            </w:pPr>
            <w:r>
              <w:t>Land description</w:t>
            </w:r>
          </w:p>
        </w:tc>
        <w:tc>
          <w:tcPr>
            <w:tcW w:w="3076" w:type="pct"/>
          </w:tcPr>
          <w:p w:rsidR="00E200CF" w:rsidRPr="00851E10" w:rsidRDefault="00E81903" w:rsidP="00C963CC">
            <w:pPr>
              <w:pStyle w:val="TitlePagetext"/>
            </w:pPr>
            <w:r>
              <w:t>Existing Attached two storey dwelling.</w:t>
            </w:r>
          </w:p>
        </w:tc>
      </w:tr>
      <w:tr w:rsidR="00E200CF" w:rsidTr="00C963CC">
        <w:trPr>
          <w:cantSplit/>
        </w:trPr>
        <w:tc>
          <w:tcPr>
            <w:tcW w:w="1924" w:type="pct"/>
          </w:tcPr>
          <w:p w:rsidR="00E200CF" w:rsidRDefault="00E200CF" w:rsidP="00C963CC">
            <w:pPr>
              <w:pStyle w:val="TitlePagetext"/>
            </w:pPr>
          </w:p>
        </w:tc>
        <w:tc>
          <w:tcPr>
            <w:tcW w:w="3076" w:type="pct"/>
          </w:tcPr>
          <w:p w:rsidR="00E200CF" w:rsidRPr="00851E10" w:rsidRDefault="00E200CF" w:rsidP="00C963CC">
            <w:pPr>
              <w:pStyle w:val="TitlePagetext"/>
            </w:pPr>
          </w:p>
        </w:tc>
      </w:tr>
    </w:tbl>
    <w:p w:rsidR="00E200CF" w:rsidRDefault="00E200CF" w:rsidP="00E200CF">
      <w:pPr>
        <w:pStyle w:val="Order1"/>
      </w:pPr>
    </w:p>
    <w:p w:rsidR="00E200CF" w:rsidRDefault="00E200CF" w:rsidP="00E200CF">
      <w:pPr>
        <w:pStyle w:val="Heading1"/>
      </w:pPr>
      <w:r>
        <w:br w:type="page"/>
      </w:r>
      <w:r w:rsidR="008720B6">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E200CF" w:rsidRDefault="00E200CF" w:rsidP="00E200CF">
      <w:pPr>
        <w:pStyle w:val="Heading2"/>
      </w:pPr>
    </w:p>
    <w:p w:rsidR="00E200CF" w:rsidRDefault="00937F63" w:rsidP="00E200CF">
      <w:pPr>
        <w:pStyle w:val="Para1"/>
      </w:pPr>
      <w:r>
        <w:t>This application is about seeking a review of condition 1 a) on the planning permit issued on 9 July by the responsible authority.</w:t>
      </w:r>
    </w:p>
    <w:p w:rsidR="00937F63" w:rsidRDefault="00937F63" w:rsidP="00E200CF">
      <w:pPr>
        <w:pStyle w:val="Para1"/>
      </w:pPr>
      <w:r>
        <w:t xml:space="preserve">During the early part of the hearing I determined that I would decide this application without the necessity to consider all </w:t>
      </w:r>
      <w:r w:rsidR="007354C5">
        <w:t xml:space="preserve">of the submissions of the parties to the proceeding other than </w:t>
      </w:r>
      <w:r>
        <w:t>the preliminary submissions of the responsible authority.</w:t>
      </w:r>
    </w:p>
    <w:p w:rsidR="00937F63" w:rsidRDefault="00937F63" w:rsidP="00E200CF">
      <w:pPr>
        <w:pStyle w:val="Para1"/>
      </w:pPr>
      <w:r>
        <w:t>In its opening submissions the responsible authority took me to the background information relating to this application process prior to the responsible authority making its determination.</w:t>
      </w:r>
    </w:p>
    <w:p w:rsidR="00937F63" w:rsidRDefault="00937F63" w:rsidP="00E200CF">
      <w:pPr>
        <w:pStyle w:val="Para1"/>
      </w:pPr>
      <w:r>
        <w:t>By letter dated 8 May 2019 the permit applicant/applicant for review sought to formally amend the application plans before the responsible authority pursuant to section 57A of the Planning and Environment Act 1987.</w:t>
      </w:r>
    </w:p>
    <w:p w:rsidR="00937F63" w:rsidRDefault="00937F63" w:rsidP="00E200CF">
      <w:pPr>
        <w:pStyle w:val="Para1"/>
      </w:pPr>
      <w:r>
        <w:t>The amendment submitted plans dated 8 May 2019 revision 3. Those plans deleted amongst other things, the first floor terrace, new doors to the terrace on the east side, and the extension two bedroom one on the south and east side of the building.</w:t>
      </w:r>
    </w:p>
    <w:p w:rsidR="00937F63" w:rsidRDefault="00937F63" w:rsidP="00E200CF">
      <w:pPr>
        <w:pStyle w:val="Para1"/>
      </w:pPr>
      <w:r>
        <w:t>The 8 May 2019 plans were confirmed by the responsible authority (by letter dated 10 May2019) that they would now be the application plans.</w:t>
      </w:r>
    </w:p>
    <w:p w:rsidR="00937F63" w:rsidRDefault="00937F63" w:rsidP="00E200CF">
      <w:pPr>
        <w:pStyle w:val="Para1"/>
      </w:pPr>
      <w:r>
        <w:t xml:space="preserve">On 9 July 2019 the responsible authority issued a permit </w:t>
      </w:r>
      <w:r w:rsidR="007A5892">
        <w:t>(</w:t>
      </w:r>
      <w:r>
        <w:t>having previously considered a planning report on 6 June and issued a notice of decision to grant a permit on 7 June 2019</w:t>
      </w:r>
      <w:r w:rsidR="007A5892">
        <w:t>)</w:t>
      </w:r>
      <w:r>
        <w:t xml:space="preserve">. That notice of decision and </w:t>
      </w:r>
      <w:r w:rsidR="00BC54DB">
        <w:t xml:space="preserve">subsequent </w:t>
      </w:r>
      <w:r>
        <w:t xml:space="preserve">permit contained a redundant or unnecessarily condition referred to as condition </w:t>
      </w:r>
      <w:r w:rsidR="00BC54DB">
        <w:t>1</w:t>
      </w:r>
      <w:r>
        <w:t>a</w:t>
      </w:r>
      <w:r w:rsidR="00BC54DB">
        <w:t>)</w:t>
      </w:r>
      <w:r>
        <w:t>. That condition was redundant and/or unnecessary because it does not form part of the application plans.</w:t>
      </w:r>
    </w:p>
    <w:p w:rsidR="00BC54DB" w:rsidRDefault="00BC54DB" w:rsidP="00E200CF">
      <w:pPr>
        <w:pStyle w:val="Para1"/>
      </w:pPr>
      <w:r>
        <w:t>Condition 1a read as follows:</w:t>
      </w:r>
    </w:p>
    <w:p w:rsidR="00BC54DB" w:rsidRDefault="00BC54DB" w:rsidP="00BC54DB">
      <w:pPr>
        <w:pStyle w:val="Para1"/>
        <w:numPr>
          <w:ilvl w:val="0"/>
          <w:numId w:val="19"/>
        </w:numPr>
      </w:pPr>
      <w:r>
        <w:t>A notation to specify all changes detailed in the amended plans submitted to Council dated 8 May 2019 (revision 3) providing for the deletion of all first for modifications including:</w:t>
      </w:r>
      <w:r>
        <w:br/>
        <w:t>i.</w:t>
      </w:r>
      <w:r>
        <w:tab/>
      </w:r>
      <w:r>
        <w:tab/>
        <w:t>Deletion of first floor terrace.</w:t>
      </w:r>
    </w:p>
    <w:p w:rsidR="00BC54DB" w:rsidRDefault="00BC54DB" w:rsidP="00BC54DB">
      <w:pPr>
        <w:pStyle w:val="Para1"/>
        <w:numPr>
          <w:ilvl w:val="0"/>
          <w:numId w:val="0"/>
        </w:numPr>
        <w:ind w:left="1494"/>
      </w:pPr>
      <w:r>
        <w:t>ii</w:t>
      </w:r>
      <w:r>
        <w:tab/>
      </w:r>
      <w:r>
        <w:tab/>
        <w:t>Deletion of new doors to terrace on east side.</w:t>
      </w:r>
    </w:p>
    <w:p w:rsidR="00BC54DB" w:rsidRDefault="00BC54DB" w:rsidP="00BC54DB">
      <w:pPr>
        <w:pStyle w:val="Para1"/>
        <w:numPr>
          <w:ilvl w:val="0"/>
          <w:numId w:val="0"/>
        </w:numPr>
        <w:ind w:left="2259" w:hanging="765"/>
      </w:pPr>
      <w:r>
        <w:t>iii</w:t>
      </w:r>
      <w:r>
        <w:tab/>
        <w:t>Deletion of extension two bedroom one on the south and east side</w:t>
      </w:r>
    </w:p>
    <w:p w:rsidR="00937F63" w:rsidRDefault="00937F63" w:rsidP="00E200CF">
      <w:pPr>
        <w:pStyle w:val="Para1"/>
      </w:pPr>
      <w:r>
        <w:t>Th</w:t>
      </w:r>
      <w:r w:rsidR="00BC54DB">
        <w:t>e</w:t>
      </w:r>
      <w:r>
        <w:t xml:space="preserve"> 8 May </w:t>
      </w:r>
      <w:r w:rsidR="00BC54DB">
        <w:t xml:space="preserve">2019 Revision 3 </w:t>
      </w:r>
      <w:r>
        <w:t xml:space="preserve">plans had already removed those items referred to in condition </w:t>
      </w:r>
      <w:r w:rsidR="00BC54DB">
        <w:t>1</w:t>
      </w:r>
      <w:r>
        <w:t xml:space="preserve"> a</w:t>
      </w:r>
      <w:r w:rsidR="00BC54DB">
        <w:t xml:space="preserve"> above</w:t>
      </w:r>
      <w:r>
        <w:t>.</w:t>
      </w:r>
    </w:p>
    <w:p w:rsidR="00937F63" w:rsidRDefault="008720B6" w:rsidP="00BC54DB">
      <w:pPr>
        <w:pStyle w:val="Para1"/>
        <w:numPr>
          <w:ilvl w:val="0"/>
          <w:numId w:val="0"/>
        </w:numPr>
        <w:ind w:left="567"/>
      </w:pPr>
      <w:r>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937F63" w:rsidRDefault="00937F63" w:rsidP="00E200CF">
      <w:pPr>
        <w:pStyle w:val="Para1"/>
      </w:pPr>
      <w:r>
        <w:t>The tribunal standing in the shoes a responsible authority cannot include conditions that are no longer relevant to the plans before it. Neither can the tribunal consider an application to go back to something that has formally been withdrawn from the proceeding in a section 80 review application</w:t>
      </w:r>
      <w:r w:rsidR="007A5892">
        <w:t xml:space="preserve"> nor permit further amend</w:t>
      </w:r>
      <w:r w:rsidR="007354C5">
        <w:t>ments to</w:t>
      </w:r>
      <w:r w:rsidR="007A5892">
        <w:t xml:space="preserve"> the application plans.</w:t>
      </w:r>
      <w:r>
        <w:t>.</w:t>
      </w:r>
    </w:p>
    <w:p w:rsidR="00BC54DB" w:rsidRDefault="00BC54DB" w:rsidP="00E200CF">
      <w:pPr>
        <w:pStyle w:val="Para1"/>
      </w:pPr>
      <w:r>
        <w:t xml:space="preserve">There was no need for the </w:t>
      </w:r>
      <w:r w:rsidR="007A5892">
        <w:t>r</w:t>
      </w:r>
      <w:r>
        <w:t xml:space="preserve">esponsible authority to impose condition 1a) given the 8 May 2019 plans were now the application plans. </w:t>
      </w:r>
    </w:p>
    <w:p w:rsidR="00937F63" w:rsidRDefault="00937F63" w:rsidP="00E200CF">
      <w:pPr>
        <w:pStyle w:val="Para1"/>
      </w:pPr>
      <w:r>
        <w:t>To avoid any future confusion</w:t>
      </w:r>
      <w:r w:rsidR="007354C5">
        <w:t xml:space="preserve"> it</w:t>
      </w:r>
      <w:r>
        <w:t xml:space="preserve"> is appropriate for the condition </w:t>
      </w:r>
      <w:r w:rsidR="00BC54DB">
        <w:t>1</w:t>
      </w:r>
      <w:r>
        <w:t>a</w:t>
      </w:r>
      <w:r w:rsidR="00BC54DB">
        <w:t>)</w:t>
      </w:r>
      <w:r>
        <w:t xml:space="preserve"> to be deleted.</w:t>
      </w:r>
    </w:p>
    <w:p w:rsidR="00937F63" w:rsidRDefault="00BC54DB" w:rsidP="00E200CF">
      <w:pPr>
        <w:pStyle w:val="Para1"/>
      </w:pPr>
      <w:r>
        <w:t xml:space="preserve">The </w:t>
      </w:r>
      <w:r w:rsidR="00937F63">
        <w:t>8 May 2019 plans will be the basis for any plans endorsed under this permit.</w:t>
      </w:r>
    </w:p>
    <w:p w:rsidR="00937F63" w:rsidRDefault="00937F63" w:rsidP="00E200CF">
      <w:pPr>
        <w:pStyle w:val="Para1"/>
      </w:pPr>
      <w:r>
        <w:t>This proceeding highlights the need for both applicants and responsible authorities to be clear about what application plans are before it</w:t>
      </w:r>
      <w:r w:rsidR="007354C5">
        <w:t>,</w:t>
      </w:r>
      <w:r>
        <w:t xml:space="preserve"> in its </w:t>
      </w:r>
      <w:r w:rsidR="007354C5">
        <w:t>decision making</w:t>
      </w:r>
      <w:r>
        <w:t xml:space="preserve"> capacity. It is also clear</w:t>
      </w:r>
      <w:r w:rsidR="007354C5">
        <w:t>,</w:t>
      </w:r>
      <w:r>
        <w:t xml:space="preserve"> and to avoid confusion</w:t>
      </w:r>
      <w:r w:rsidR="007354C5">
        <w:t>,</w:t>
      </w:r>
      <w:r>
        <w:t xml:space="preserve"> that conditions should only be imposed that are relevant to the plans under consideration and any changes that may be necessary to those application plans.</w:t>
      </w:r>
    </w:p>
    <w:p w:rsidR="007A5892" w:rsidRDefault="007A5892" w:rsidP="00E200CF">
      <w:pPr>
        <w:pStyle w:val="Para1"/>
      </w:pPr>
      <w:r>
        <w:t>It was clear the intention of the applicants for review was</w:t>
      </w:r>
      <w:r w:rsidR="007354C5">
        <w:t>,</w:t>
      </w:r>
      <w:r>
        <w:t xml:space="preserve"> through the deletion of condition 1a</w:t>
      </w:r>
      <w:r w:rsidR="007354C5">
        <w:t>,</w:t>
      </w:r>
      <w:r>
        <w:t xml:space="preserve"> that there would be a possibility to revert to an earlier set of application plans. That cannot be done in a section 80 application. While the review in one way may be interpreted to be successful for the applicants for review, because of the deletion of condition 1a, the reality is that it just confirms the application plans of 8 May 2019.</w:t>
      </w:r>
    </w:p>
    <w:p w:rsidR="00E200CF" w:rsidRDefault="00E200CF" w:rsidP="00E200CF">
      <w:pPr>
        <w:pStyle w:val="Heading2"/>
      </w:pPr>
      <w:r>
        <w:t>Conclusion</w:t>
      </w:r>
    </w:p>
    <w:p w:rsidR="00E200CF" w:rsidRDefault="00E200CF" w:rsidP="00E200CF">
      <w:pPr>
        <w:pStyle w:val="Para1"/>
      </w:pPr>
      <w:r>
        <w:t xml:space="preserve">For the reasons given above, the decision of the </w:t>
      </w:r>
      <w:r w:rsidR="002563BE">
        <w:t xml:space="preserve">responsible authority </w:t>
      </w:r>
      <w:r>
        <w:t xml:space="preserve">is </w:t>
      </w:r>
      <w:r w:rsidRPr="009F5442">
        <w:t xml:space="preserve">varied.  A permit is granted subject to conditions </w:t>
      </w:r>
      <w:r w:rsidR="009F5442">
        <w:t>on the permit dated 9 July 2019 save that condition 1a) is deleted</w:t>
      </w:r>
      <w:r>
        <w:t>.</w:t>
      </w:r>
    </w:p>
    <w:p w:rsidR="00E200CF" w:rsidRDefault="00E200CF" w:rsidP="00E200CF"/>
    <w:p w:rsidR="00E200CF" w:rsidRDefault="00E200CF" w:rsidP="00E200CF"/>
    <w:p w:rsidR="00E200CF" w:rsidRDefault="00E200CF" w:rsidP="00E200CF"/>
    <w:p w:rsidR="00E200CF" w:rsidRDefault="00E200CF" w:rsidP="00E200CF"/>
    <w:tbl>
      <w:tblPr>
        <w:tblW w:w="4999" w:type="pct"/>
        <w:tblLook w:val="0000" w:firstRow="0" w:lastRow="0" w:firstColumn="0" w:lastColumn="0" w:noHBand="0" w:noVBand="0"/>
      </w:tblPr>
      <w:tblGrid>
        <w:gridCol w:w="3784"/>
        <w:gridCol w:w="1479"/>
        <w:gridCol w:w="3240"/>
      </w:tblGrid>
      <w:tr w:rsidR="00CC60A6" w:rsidTr="00CC60A6">
        <w:tc>
          <w:tcPr>
            <w:tcW w:w="2013" w:type="pct"/>
          </w:tcPr>
          <w:p w:rsidR="00CC60A6" w:rsidRDefault="00BC54DB" w:rsidP="00CC60A6">
            <w:pPr>
              <w:tabs>
                <w:tab w:val="left" w:pos="1515"/>
              </w:tabs>
              <w:spacing w:before="80" w:after="100"/>
              <w:rPr>
                <w:rFonts w:ascii="Times New Roman Bold" w:hAnsi="Times New Roman Bold"/>
                <w:b/>
              </w:rPr>
            </w:pPr>
            <w:r>
              <w:rPr>
                <w:rFonts w:ascii="Times New Roman Bold" w:hAnsi="Times New Roman Bold"/>
                <w:b/>
              </w:rPr>
              <w:t>Nicholas Hadjigeorgiou</w:t>
            </w:r>
            <w:r w:rsidR="00CC60A6">
              <w:rPr>
                <w:rFonts w:ascii="Times New Roman Bold" w:hAnsi="Times New Roman Bold"/>
                <w:b/>
              </w:rPr>
              <w:fldChar w:fldCharType="begin"/>
            </w:r>
            <w:r w:rsidR="00CC60A6">
              <w:rPr>
                <w:rFonts w:ascii="Times New Roman Bold" w:hAnsi="Times New Roman Bold"/>
                <w:b/>
              </w:rPr>
              <w:instrText xml:space="preserve"> MERGEFIELD RecipientName </w:instrText>
            </w:r>
            <w:r w:rsidR="00CC60A6">
              <w:rPr>
                <w:rFonts w:ascii="Times New Roman Bold" w:hAnsi="Times New Roman Bold"/>
                <w:b/>
              </w:rPr>
              <w:fldChar w:fldCharType="separate"/>
            </w:r>
            <w:r w:rsidR="00ED6A61">
              <w:rPr>
                <w:rFonts w:ascii="Times New Roman Bold" w:hAnsi="Times New Roman Bold" w:hint="eastAsia"/>
                <w:b/>
                <w:noProof/>
              </w:rPr>
              <w:t>«</w:t>
            </w:r>
            <w:r w:rsidR="00ED6A61">
              <w:rPr>
                <w:rFonts w:ascii="Times New Roman Bold" w:hAnsi="Times New Roman Bold"/>
                <w:b/>
                <w:noProof/>
              </w:rPr>
              <w:t>RecipientName</w:t>
            </w:r>
            <w:r w:rsidR="00ED6A61">
              <w:rPr>
                <w:rFonts w:ascii="Times New Roman Bold" w:hAnsi="Times New Roman Bold" w:hint="eastAsia"/>
                <w:b/>
                <w:noProof/>
              </w:rPr>
              <w:t>»</w:t>
            </w:r>
            <w:r w:rsidR="00CC60A6">
              <w:rPr>
                <w:rFonts w:ascii="Times New Roman Bold" w:hAnsi="Times New Roman Bold"/>
                <w:b/>
              </w:rPr>
              <w:fldChar w:fldCharType="end"/>
            </w:r>
          </w:p>
        </w:tc>
        <w:tc>
          <w:tcPr>
            <w:tcW w:w="976" w:type="pct"/>
          </w:tcPr>
          <w:p w:rsidR="00CC60A6" w:rsidRDefault="00CC60A6" w:rsidP="00CC60A6"/>
        </w:tc>
        <w:tc>
          <w:tcPr>
            <w:tcW w:w="2011" w:type="pct"/>
          </w:tcPr>
          <w:p w:rsidR="00CC60A6" w:rsidRDefault="00CC60A6" w:rsidP="00CC60A6"/>
        </w:tc>
      </w:tr>
      <w:tr w:rsidR="00CC60A6" w:rsidTr="00CC60A6">
        <w:tc>
          <w:tcPr>
            <w:tcW w:w="2013" w:type="pct"/>
          </w:tcPr>
          <w:p w:rsidR="00CC60A6" w:rsidRPr="00BC54DB" w:rsidRDefault="00CC60A6" w:rsidP="00CC60A6">
            <w:pPr>
              <w:spacing w:before="80" w:after="100"/>
              <w:rPr>
                <w:b/>
              </w:rPr>
            </w:pPr>
            <w:r w:rsidRPr="00BC54DB">
              <w:rPr>
                <w:b/>
              </w:rPr>
              <w:t>Member</w:t>
            </w:r>
          </w:p>
        </w:tc>
        <w:tc>
          <w:tcPr>
            <w:tcW w:w="976" w:type="pct"/>
          </w:tcPr>
          <w:p w:rsidR="00CC60A6" w:rsidRDefault="00CC60A6" w:rsidP="00CC60A6"/>
        </w:tc>
        <w:tc>
          <w:tcPr>
            <w:tcW w:w="2011" w:type="pct"/>
          </w:tcPr>
          <w:p w:rsidR="00CC60A6" w:rsidRDefault="00CC60A6" w:rsidP="00CC60A6"/>
        </w:tc>
      </w:tr>
    </w:tbl>
    <w:p w:rsidR="00E200CF" w:rsidRDefault="00E200CF" w:rsidP="00E200CF"/>
    <w:p w:rsidR="00E200CF" w:rsidRDefault="00E200CF" w:rsidP="00E200CF"/>
    <w:sectPr w:rsidR="00E200CF">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79" w:rsidRDefault="00815179">
      <w:r>
        <w:separator/>
      </w:r>
    </w:p>
  </w:endnote>
  <w:endnote w:type="continuationSeparator" w:id="0">
    <w:p w:rsidR="00815179" w:rsidRDefault="0081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23" w:name="FooterDescription"/>
          <w:bookmarkStart w:id="24" w:name="FooterFileNo1"/>
          <w:bookmarkEnd w:id="23"/>
          <w:bookmarkEnd w:id="24"/>
          <w:r>
            <w:rPr>
              <w:rFonts w:cs="Arial"/>
              <w:sz w:val="18"/>
              <w:szCs w:val="18"/>
            </w:rPr>
            <w:t>VCAT Reference No.</w:t>
          </w:r>
          <w:r w:rsidR="005D14C9">
            <w:rPr>
              <w:rFonts w:cs="Arial"/>
              <w:sz w:val="18"/>
              <w:szCs w:val="18"/>
            </w:rPr>
            <w:t xml:space="preserve"> P1674/2019</w:t>
          </w:r>
          <w:r>
            <w:rPr>
              <w:rFonts w:cs="Arial"/>
              <w:sz w:val="18"/>
              <w:szCs w:val="18"/>
            </w:rPr>
            <w:t xml:space="preserve"> </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6579DC">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6579DC">
            <w:rPr>
              <w:rFonts w:cs="Arial"/>
              <w:noProof/>
              <w:sz w:val="18"/>
              <w:szCs w:val="18"/>
            </w:rPr>
            <w:t>4</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79" w:rsidRDefault="00815179">
      <w:pPr>
        <w:pStyle w:val="Footer"/>
        <w:pBdr>
          <w:top w:val="single" w:sz="4" w:space="1" w:color="auto"/>
        </w:pBdr>
        <w:rPr>
          <w:sz w:val="12"/>
        </w:rPr>
      </w:pPr>
    </w:p>
  </w:footnote>
  <w:footnote w:type="continuationSeparator" w:id="0">
    <w:p w:rsidR="00815179" w:rsidRDefault="00815179">
      <w:r>
        <w:continuationSeparator/>
      </w:r>
    </w:p>
  </w:footnote>
  <w:footnote w:id="1">
    <w:p w:rsidR="00E200CF" w:rsidRDefault="00E200C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2465BE"/>
    <w:multiLevelType w:val="hybridMultilevel"/>
    <w:tmpl w:val="0DE69F9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1001266"/>
    <w:multiLevelType w:val="hybridMultilevel"/>
    <w:tmpl w:val="54EAE674"/>
    <w:lvl w:ilvl="0" w:tplc="C4A2FEB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0R4kmCDdm9IEsOYzWEjnjIYF8ZATnjrfjfRR255tYoWBHnvc4AuwRWcKUR8+rDwxFi3gux1v/1Sr8QMSyGQX2w==" w:salt="IdeCn4U/HncQqyZVdYhX/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CAT Seal" w:val="True"/>
  </w:docVars>
  <w:rsids>
    <w:rsidRoot w:val="00ED6A61"/>
    <w:rsid w:val="000003F2"/>
    <w:rsid w:val="0001113F"/>
    <w:rsid w:val="00027F01"/>
    <w:rsid w:val="00057004"/>
    <w:rsid w:val="00061FEB"/>
    <w:rsid w:val="00062780"/>
    <w:rsid w:val="00063C31"/>
    <w:rsid w:val="000766E0"/>
    <w:rsid w:val="000854CC"/>
    <w:rsid w:val="000945F9"/>
    <w:rsid w:val="00094A20"/>
    <w:rsid w:val="000F4E28"/>
    <w:rsid w:val="00124C1E"/>
    <w:rsid w:val="00152541"/>
    <w:rsid w:val="001567AE"/>
    <w:rsid w:val="0016093F"/>
    <w:rsid w:val="00163377"/>
    <w:rsid w:val="00167876"/>
    <w:rsid w:val="001708C4"/>
    <w:rsid w:val="0018330C"/>
    <w:rsid w:val="001D63A4"/>
    <w:rsid w:val="001E49C7"/>
    <w:rsid w:val="001F2D3D"/>
    <w:rsid w:val="0023472F"/>
    <w:rsid w:val="002563BE"/>
    <w:rsid w:val="00275B01"/>
    <w:rsid w:val="0028144B"/>
    <w:rsid w:val="0028244B"/>
    <w:rsid w:val="00290F9B"/>
    <w:rsid w:val="00293A03"/>
    <w:rsid w:val="002A47E1"/>
    <w:rsid w:val="002A52E0"/>
    <w:rsid w:val="002B7051"/>
    <w:rsid w:val="002D05B6"/>
    <w:rsid w:val="002D68AC"/>
    <w:rsid w:val="002F27B5"/>
    <w:rsid w:val="00312D8A"/>
    <w:rsid w:val="0031301B"/>
    <w:rsid w:val="0032102D"/>
    <w:rsid w:val="00322661"/>
    <w:rsid w:val="0034213D"/>
    <w:rsid w:val="00361E5C"/>
    <w:rsid w:val="00361EF0"/>
    <w:rsid w:val="003813E9"/>
    <w:rsid w:val="003B5E75"/>
    <w:rsid w:val="003D546E"/>
    <w:rsid w:val="003D7278"/>
    <w:rsid w:val="003E11C8"/>
    <w:rsid w:val="003E5FC0"/>
    <w:rsid w:val="00434BAA"/>
    <w:rsid w:val="00436D2A"/>
    <w:rsid w:val="00467B86"/>
    <w:rsid w:val="00477574"/>
    <w:rsid w:val="004908EE"/>
    <w:rsid w:val="004919B5"/>
    <w:rsid w:val="00495762"/>
    <w:rsid w:val="004959A5"/>
    <w:rsid w:val="004A201D"/>
    <w:rsid w:val="004B3605"/>
    <w:rsid w:val="004D0391"/>
    <w:rsid w:val="004D0615"/>
    <w:rsid w:val="004D1D66"/>
    <w:rsid w:val="004D2122"/>
    <w:rsid w:val="004F54C1"/>
    <w:rsid w:val="00507771"/>
    <w:rsid w:val="00510802"/>
    <w:rsid w:val="00555296"/>
    <w:rsid w:val="005742A7"/>
    <w:rsid w:val="0058084D"/>
    <w:rsid w:val="0059145F"/>
    <w:rsid w:val="005B3D5D"/>
    <w:rsid w:val="005D14C9"/>
    <w:rsid w:val="005D408F"/>
    <w:rsid w:val="005D6C47"/>
    <w:rsid w:val="005D77CE"/>
    <w:rsid w:val="005E1511"/>
    <w:rsid w:val="005E2D20"/>
    <w:rsid w:val="005E4824"/>
    <w:rsid w:val="005F6FDD"/>
    <w:rsid w:val="00604881"/>
    <w:rsid w:val="006204C0"/>
    <w:rsid w:val="00647F43"/>
    <w:rsid w:val="0065338E"/>
    <w:rsid w:val="006579DC"/>
    <w:rsid w:val="00680AFF"/>
    <w:rsid w:val="00682C14"/>
    <w:rsid w:val="00684058"/>
    <w:rsid w:val="00697776"/>
    <w:rsid w:val="006B2598"/>
    <w:rsid w:val="006C7549"/>
    <w:rsid w:val="006E7914"/>
    <w:rsid w:val="00705098"/>
    <w:rsid w:val="00726365"/>
    <w:rsid w:val="007301D6"/>
    <w:rsid w:val="007354C5"/>
    <w:rsid w:val="00745E58"/>
    <w:rsid w:val="00763504"/>
    <w:rsid w:val="00764EDD"/>
    <w:rsid w:val="00776999"/>
    <w:rsid w:val="00780572"/>
    <w:rsid w:val="0079593A"/>
    <w:rsid w:val="00796305"/>
    <w:rsid w:val="007A5892"/>
    <w:rsid w:val="007D487A"/>
    <w:rsid w:val="007F601B"/>
    <w:rsid w:val="007F77A1"/>
    <w:rsid w:val="008128BB"/>
    <w:rsid w:val="00812BED"/>
    <w:rsid w:val="00812EEA"/>
    <w:rsid w:val="00815179"/>
    <w:rsid w:val="008265B7"/>
    <w:rsid w:val="00830459"/>
    <w:rsid w:val="0084488B"/>
    <w:rsid w:val="0084497D"/>
    <w:rsid w:val="008602F8"/>
    <w:rsid w:val="008720B6"/>
    <w:rsid w:val="008A247D"/>
    <w:rsid w:val="008A46EC"/>
    <w:rsid w:val="008A5793"/>
    <w:rsid w:val="008B4936"/>
    <w:rsid w:val="008B7EB8"/>
    <w:rsid w:val="008C1674"/>
    <w:rsid w:val="00924205"/>
    <w:rsid w:val="00926A96"/>
    <w:rsid w:val="00932AF9"/>
    <w:rsid w:val="00937F63"/>
    <w:rsid w:val="0094148C"/>
    <w:rsid w:val="00956463"/>
    <w:rsid w:val="009804A9"/>
    <w:rsid w:val="00993294"/>
    <w:rsid w:val="009C06C7"/>
    <w:rsid w:val="009D0685"/>
    <w:rsid w:val="009F5442"/>
    <w:rsid w:val="009F658E"/>
    <w:rsid w:val="00A150D3"/>
    <w:rsid w:val="00A30D6A"/>
    <w:rsid w:val="00A35800"/>
    <w:rsid w:val="00A41D6E"/>
    <w:rsid w:val="00A53783"/>
    <w:rsid w:val="00AA587E"/>
    <w:rsid w:val="00AB29FA"/>
    <w:rsid w:val="00B01DC8"/>
    <w:rsid w:val="00B134F7"/>
    <w:rsid w:val="00B160AF"/>
    <w:rsid w:val="00B24B9B"/>
    <w:rsid w:val="00B30FB4"/>
    <w:rsid w:val="00B355D6"/>
    <w:rsid w:val="00B36ACB"/>
    <w:rsid w:val="00B371E4"/>
    <w:rsid w:val="00B876A2"/>
    <w:rsid w:val="00BA1951"/>
    <w:rsid w:val="00BB7851"/>
    <w:rsid w:val="00BC219D"/>
    <w:rsid w:val="00BC54DB"/>
    <w:rsid w:val="00BE57C6"/>
    <w:rsid w:val="00C10388"/>
    <w:rsid w:val="00C1567D"/>
    <w:rsid w:val="00C26EBF"/>
    <w:rsid w:val="00C7408F"/>
    <w:rsid w:val="00C963CC"/>
    <w:rsid w:val="00CA2144"/>
    <w:rsid w:val="00CA2642"/>
    <w:rsid w:val="00CC19B1"/>
    <w:rsid w:val="00CC60A6"/>
    <w:rsid w:val="00CC6FF1"/>
    <w:rsid w:val="00CD1F2A"/>
    <w:rsid w:val="00CE2838"/>
    <w:rsid w:val="00D03F21"/>
    <w:rsid w:val="00D13BA6"/>
    <w:rsid w:val="00D14A42"/>
    <w:rsid w:val="00D23389"/>
    <w:rsid w:val="00D24AFE"/>
    <w:rsid w:val="00D24B15"/>
    <w:rsid w:val="00D6081F"/>
    <w:rsid w:val="00D616BA"/>
    <w:rsid w:val="00D64D3E"/>
    <w:rsid w:val="00DC7C16"/>
    <w:rsid w:val="00DD240D"/>
    <w:rsid w:val="00E002C5"/>
    <w:rsid w:val="00E200CF"/>
    <w:rsid w:val="00E22A2C"/>
    <w:rsid w:val="00E27229"/>
    <w:rsid w:val="00E62037"/>
    <w:rsid w:val="00E81903"/>
    <w:rsid w:val="00EA5010"/>
    <w:rsid w:val="00EA5975"/>
    <w:rsid w:val="00ED56ED"/>
    <w:rsid w:val="00ED6A61"/>
    <w:rsid w:val="00EE5E8E"/>
    <w:rsid w:val="00EE6762"/>
    <w:rsid w:val="00F02A1F"/>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2AFF77-47C1-4DC6-A2E6-DF590DF6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E7D4-5B16-42C9-8241-AF5DCD8C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5105</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Pat C Fernando (CSV)</dc:creator>
  <cp:keywords/>
  <dc:description/>
  <cp:lastModifiedBy>Morsal Bashir</cp:lastModifiedBy>
  <cp:revision>2</cp:revision>
  <cp:lastPrinted>2019-12-06T02:42:00Z</cp:lastPrinted>
  <dcterms:created xsi:type="dcterms:W3CDTF">2019-12-11T04:02:00Z</dcterms:created>
  <dcterms:modified xsi:type="dcterms:W3CDTF">2019-12-11T04:02:00Z</dcterms:modified>
</cp:coreProperties>
</file>