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CF" w:rsidRDefault="00E92A1F"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E200CF" w:rsidP="004A201D">
      <w:pPr>
        <w:pStyle w:val="TitlePage1"/>
        <w:spacing w:after="120"/>
      </w:pPr>
      <w:bookmarkStart w:id="1" w:name="Division"/>
      <w:bookmarkEnd w:id="1"/>
      <w:r>
        <w:t>administrative DIVISION</w:t>
      </w:r>
    </w:p>
    <w:tbl>
      <w:tblPr>
        <w:tblW w:w="5000" w:type="pct"/>
        <w:tblLook w:val="0000" w:firstRow="0" w:lastRow="0" w:firstColumn="0" w:lastColumn="0" w:noHBand="0" w:noVBand="0"/>
      </w:tblPr>
      <w:tblGrid>
        <w:gridCol w:w="4494"/>
        <w:gridCol w:w="4011"/>
      </w:tblGrid>
      <w:tr w:rsidR="00E200CF" w:rsidTr="00EB703D">
        <w:trPr>
          <w:cantSplit/>
        </w:trPr>
        <w:tc>
          <w:tcPr>
            <w:tcW w:w="2642" w:type="pct"/>
          </w:tcPr>
          <w:p w:rsidR="00E200CF" w:rsidRDefault="00E200CF" w:rsidP="00EB703D">
            <w:pPr>
              <w:pStyle w:val="TitlePage2"/>
            </w:pPr>
            <w:bookmarkStart w:id="2" w:name="SubDivision"/>
            <w:bookmarkEnd w:id="2"/>
            <w:r>
              <w:t>planning and environment LIST</w:t>
            </w:r>
          </w:p>
        </w:tc>
        <w:tc>
          <w:tcPr>
            <w:tcW w:w="2358" w:type="pct"/>
          </w:tcPr>
          <w:p w:rsidR="00E200CF" w:rsidRDefault="00E200CF" w:rsidP="00EB703D">
            <w:pPr>
              <w:pStyle w:val="TitlePage3"/>
            </w:pPr>
            <w:bookmarkStart w:id="3" w:name="FileNo1"/>
            <w:bookmarkEnd w:id="3"/>
            <w:r>
              <w:t xml:space="preserve">vcat reference No. </w:t>
            </w:r>
            <w:r w:rsidR="00DE3043">
              <w:t>P1517/2018</w:t>
            </w:r>
          </w:p>
          <w:p w:rsidR="00E200CF" w:rsidRDefault="00E200CF" w:rsidP="00EB703D">
            <w:pPr>
              <w:pStyle w:val="TitlePage3"/>
            </w:pPr>
            <w:r>
              <w:t xml:space="preserve">Permit Application no. </w:t>
            </w:r>
            <w:r w:rsidR="00DE3043" w:rsidRPr="00DE3043">
              <w:t>TPA/48580</w:t>
            </w:r>
          </w:p>
        </w:tc>
      </w:tr>
      <w:tr w:rsidR="00E200CF" w:rsidTr="00EB703D">
        <w:tblPrEx>
          <w:jc w:val="center"/>
        </w:tblPrEx>
        <w:trPr>
          <w:cantSplit/>
          <w:jc w:val="center"/>
        </w:trPr>
        <w:tc>
          <w:tcPr>
            <w:tcW w:w="5000" w:type="pct"/>
            <w:gridSpan w:val="2"/>
          </w:tcPr>
          <w:p w:rsidR="00E200CF" w:rsidRDefault="00E200CF" w:rsidP="00EB703D">
            <w:pPr>
              <w:pStyle w:val="TitlePage2"/>
              <w:jc w:val="center"/>
            </w:pPr>
            <w:r>
              <w:t>CATCHWORDS</w:t>
            </w:r>
          </w:p>
        </w:tc>
      </w:tr>
      <w:tr w:rsidR="00E200CF" w:rsidTr="00EB703D">
        <w:tblPrEx>
          <w:jc w:val="center"/>
        </w:tblPrEx>
        <w:trPr>
          <w:cantSplit/>
          <w:jc w:val="center"/>
        </w:trPr>
        <w:tc>
          <w:tcPr>
            <w:tcW w:w="5000" w:type="pct"/>
            <w:gridSpan w:val="2"/>
          </w:tcPr>
          <w:p w:rsidR="00E200CF" w:rsidRDefault="00080E1F" w:rsidP="00080E1F">
            <w:pPr>
              <w:pStyle w:val="Catchwords"/>
            </w:pPr>
            <w:r w:rsidRPr="00DC1ED9">
              <w:t xml:space="preserve">Section </w:t>
            </w:r>
            <w:r>
              <w:t>77</w:t>
            </w:r>
            <w:r w:rsidRPr="00DC1ED9">
              <w:t xml:space="preserve"> </w:t>
            </w:r>
            <w:r w:rsidRPr="00DC1ED9">
              <w:rPr>
                <w:i/>
              </w:rPr>
              <w:t xml:space="preserve">Planning </w:t>
            </w:r>
            <w:r>
              <w:rPr>
                <w:i/>
              </w:rPr>
              <w:t>and</w:t>
            </w:r>
            <w:r w:rsidRPr="00DC1ED9">
              <w:rPr>
                <w:i/>
              </w:rPr>
              <w:t xml:space="preserve"> Environment Act 198</w:t>
            </w:r>
            <w:r w:rsidRPr="00DC1ED9">
              <w:t xml:space="preserve">7, </w:t>
            </w:r>
            <w:r>
              <w:t>Monash</w:t>
            </w:r>
            <w:r w:rsidRPr="00DC1ED9">
              <w:t xml:space="preserve"> Planning Scheme; General Residential Zone Schedule </w:t>
            </w:r>
            <w:r>
              <w:t>2</w:t>
            </w:r>
            <w:r w:rsidRPr="00DC1ED9">
              <w:t>;</w:t>
            </w:r>
            <w:r>
              <w:t xml:space="preserve"> </w:t>
            </w:r>
            <w:r w:rsidRPr="00DC1ED9">
              <w:t>Neighbourhood character</w:t>
            </w:r>
            <w:r>
              <w:t>; Building Bulk and Scale.</w:t>
            </w:r>
          </w:p>
        </w:tc>
      </w:tr>
    </w:tbl>
    <w:p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rsidTr="00EB703D">
        <w:tc>
          <w:tcPr>
            <w:tcW w:w="2084" w:type="pct"/>
          </w:tcPr>
          <w:p w:rsidR="00E200CF" w:rsidRDefault="00E200CF" w:rsidP="00EB703D">
            <w:pPr>
              <w:pStyle w:val="TitlePage2"/>
            </w:pPr>
            <w:bookmarkStart w:id="5" w:name="DELcomplainants2"/>
            <w:bookmarkStart w:id="6" w:name="DELapp"/>
            <w:bookmarkStart w:id="7" w:name="DELitmo"/>
            <w:bookmarkStart w:id="8" w:name="DELcar"/>
            <w:r>
              <w:t>APPLICANT</w:t>
            </w:r>
          </w:p>
        </w:tc>
        <w:tc>
          <w:tcPr>
            <w:tcW w:w="2916" w:type="pct"/>
          </w:tcPr>
          <w:p w:rsidR="00E200CF" w:rsidRDefault="00DE3043" w:rsidP="00EB703D">
            <w:pPr>
              <w:pStyle w:val="TitlePagetext"/>
            </w:pPr>
            <w:bookmarkStart w:id="9" w:name="Applicant"/>
            <w:bookmarkEnd w:id="9"/>
            <w:r>
              <w:t xml:space="preserve">Jim </w:t>
            </w:r>
            <w:r w:rsidRPr="00DE3043">
              <w:t>Kromidas</w:t>
            </w:r>
          </w:p>
        </w:tc>
      </w:tr>
      <w:tr w:rsidR="00E200CF" w:rsidTr="00EB703D">
        <w:tc>
          <w:tcPr>
            <w:tcW w:w="2084" w:type="pct"/>
          </w:tcPr>
          <w:p w:rsidR="00E200CF" w:rsidRDefault="00E200CF" w:rsidP="00EB703D">
            <w:pPr>
              <w:pStyle w:val="TitlePage2"/>
            </w:pPr>
            <w:r>
              <w:t>responsible authority</w:t>
            </w:r>
          </w:p>
        </w:tc>
        <w:tc>
          <w:tcPr>
            <w:tcW w:w="2916" w:type="pct"/>
          </w:tcPr>
          <w:p w:rsidR="00E200CF" w:rsidRDefault="00DE3043" w:rsidP="00EB703D">
            <w:pPr>
              <w:pStyle w:val="TitlePagetext"/>
            </w:pPr>
            <w:r w:rsidRPr="00DE3043">
              <w:t>Monash City Council</w:t>
            </w:r>
          </w:p>
        </w:tc>
      </w:tr>
      <w:tr w:rsidR="00E200CF" w:rsidTr="00EB703D">
        <w:tc>
          <w:tcPr>
            <w:tcW w:w="2084" w:type="pct"/>
          </w:tcPr>
          <w:p w:rsidR="00E200CF" w:rsidRDefault="00E200CF" w:rsidP="00EB703D">
            <w:pPr>
              <w:pStyle w:val="TitlePage2"/>
            </w:pPr>
            <w:bookmarkStart w:id="10" w:name="DELrespondents2"/>
            <w:bookmarkStart w:id="11" w:name="DELsubjectland"/>
            <w:bookmarkEnd w:id="5"/>
            <w:bookmarkEnd w:id="6"/>
            <w:r>
              <w:t>SUBJECT LAND</w:t>
            </w:r>
          </w:p>
        </w:tc>
        <w:tc>
          <w:tcPr>
            <w:tcW w:w="2916" w:type="pct"/>
          </w:tcPr>
          <w:p w:rsidR="00E200CF" w:rsidRDefault="00DE3043" w:rsidP="000421A8">
            <w:pPr>
              <w:pStyle w:val="TitlePagetext"/>
            </w:pPr>
            <w:bookmarkStart w:id="12" w:name="subjectland"/>
            <w:bookmarkEnd w:id="12"/>
            <w:r>
              <w:t>312 Huntingdale Road</w:t>
            </w:r>
            <w:r w:rsidR="000421A8">
              <w:t>, Mount Waverley</w:t>
            </w:r>
            <w:r>
              <w:t xml:space="preserve">  </w:t>
            </w:r>
          </w:p>
        </w:tc>
      </w:tr>
      <w:tr w:rsidR="00E200CF" w:rsidTr="00EB703D">
        <w:tc>
          <w:tcPr>
            <w:tcW w:w="2084" w:type="pct"/>
          </w:tcPr>
          <w:p w:rsidR="00E200CF" w:rsidRDefault="00E200CF" w:rsidP="00EB703D">
            <w:pPr>
              <w:pStyle w:val="TitlePage2"/>
            </w:pPr>
            <w:bookmarkStart w:id="13" w:name="INSresponsibleAuthority"/>
            <w:bookmarkEnd w:id="7"/>
            <w:bookmarkEnd w:id="8"/>
            <w:bookmarkEnd w:id="10"/>
            <w:bookmarkEnd w:id="11"/>
            <w:bookmarkEnd w:id="13"/>
            <w:r>
              <w:t>WHERE HELD</w:t>
            </w:r>
          </w:p>
        </w:tc>
        <w:tc>
          <w:tcPr>
            <w:tcW w:w="2916" w:type="pct"/>
          </w:tcPr>
          <w:p w:rsidR="00E200CF" w:rsidRDefault="00E200CF" w:rsidP="00EB703D">
            <w:pPr>
              <w:pStyle w:val="TitlePagetext"/>
            </w:pPr>
            <w:bookmarkStart w:id="14" w:name="Location"/>
            <w:bookmarkEnd w:id="14"/>
            <w:r>
              <w:t>Melbourne</w:t>
            </w:r>
          </w:p>
        </w:tc>
      </w:tr>
      <w:tr w:rsidR="00E200CF" w:rsidRPr="00C21BA7" w:rsidTr="00EB703D">
        <w:tc>
          <w:tcPr>
            <w:tcW w:w="2084" w:type="pct"/>
          </w:tcPr>
          <w:p w:rsidR="00E200CF" w:rsidRPr="00C21BA7" w:rsidRDefault="00E200CF" w:rsidP="00EB703D">
            <w:pPr>
              <w:pStyle w:val="TitlePage2"/>
            </w:pPr>
            <w:r w:rsidRPr="00C21BA7">
              <w:t>BEFORE</w:t>
            </w:r>
          </w:p>
        </w:tc>
        <w:tc>
          <w:tcPr>
            <w:tcW w:w="2916" w:type="pct"/>
          </w:tcPr>
          <w:p w:rsidR="00E200CF" w:rsidRPr="00C21BA7" w:rsidRDefault="00C21BA7" w:rsidP="00EB703D">
            <w:pPr>
              <w:pStyle w:val="TitlePagetext"/>
            </w:pPr>
            <w:bookmarkStart w:id="15" w:name="Before"/>
            <w:bookmarkEnd w:id="15"/>
            <w:r w:rsidRPr="00C21BA7">
              <w:t>Jane Tait</w:t>
            </w:r>
            <w:r w:rsidR="00E200CF" w:rsidRPr="00C21BA7">
              <w:t>, Member</w:t>
            </w:r>
          </w:p>
        </w:tc>
      </w:tr>
      <w:tr w:rsidR="00E200CF" w:rsidRPr="00C21BA7" w:rsidTr="00EB703D">
        <w:tc>
          <w:tcPr>
            <w:tcW w:w="2084" w:type="pct"/>
          </w:tcPr>
          <w:p w:rsidR="00E200CF" w:rsidRPr="00C21BA7" w:rsidRDefault="00E200CF" w:rsidP="00EB703D">
            <w:pPr>
              <w:pStyle w:val="TitlePage2"/>
            </w:pPr>
            <w:r w:rsidRPr="00C21BA7">
              <w:t>HEARING TYPE</w:t>
            </w:r>
          </w:p>
        </w:tc>
        <w:tc>
          <w:tcPr>
            <w:tcW w:w="2916" w:type="pct"/>
          </w:tcPr>
          <w:p w:rsidR="00E200CF" w:rsidRPr="00C21BA7" w:rsidRDefault="00E200CF" w:rsidP="00EB703D">
            <w:pPr>
              <w:pStyle w:val="TitlePagetext"/>
            </w:pPr>
            <w:bookmarkStart w:id="16" w:name="HearingType"/>
            <w:bookmarkEnd w:id="16"/>
            <w:r w:rsidRPr="00C21BA7">
              <w:t>Hearing</w:t>
            </w:r>
          </w:p>
        </w:tc>
      </w:tr>
      <w:tr w:rsidR="00E200CF" w:rsidTr="00EB703D">
        <w:tc>
          <w:tcPr>
            <w:tcW w:w="2084" w:type="pct"/>
          </w:tcPr>
          <w:p w:rsidR="00E200CF" w:rsidRPr="00C21BA7" w:rsidRDefault="00E200CF" w:rsidP="00EB703D">
            <w:pPr>
              <w:pStyle w:val="TitlePage2"/>
            </w:pPr>
            <w:r w:rsidRPr="00C21BA7">
              <w:t>DATE OF HEARING</w:t>
            </w:r>
          </w:p>
        </w:tc>
        <w:tc>
          <w:tcPr>
            <w:tcW w:w="2916" w:type="pct"/>
          </w:tcPr>
          <w:p w:rsidR="00E200CF" w:rsidRDefault="00C21BA7" w:rsidP="00EB703D">
            <w:pPr>
              <w:pStyle w:val="TitlePagetext"/>
            </w:pPr>
            <w:bookmarkStart w:id="17" w:name="HearingDate"/>
            <w:bookmarkEnd w:id="17"/>
            <w:r w:rsidRPr="00C21BA7">
              <w:t>8 February 2019</w:t>
            </w:r>
            <w:r w:rsidR="00E200CF">
              <w:t xml:space="preserve">   </w:t>
            </w:r>
          </w:p>
        </w:tc>
      </w:tr>
      <w:tr w:rsidR="00E200CF" w:rsidTr="00EB703D">
        <w:tc>
          <w:tcPr>
            <w:tcW w:w="2084" w:type="pct"/>
          </w:tcPr>
          <w:p w:rsidR="00E200CF" w:rsidRDefault="00E200CF" w:rsidP="00EB703D">
            <w:pPr>
              <w:pStyle w:val="TitlePage2"/>
            </w:pPr>
            <w:r>
              <w:t>DATE OF ORDER</w:t>
            </w:r>
          </w:p>
        </w:tc>
        <w:tc>
          <w:tcPr>
            <w:tcW w:w="2916" w:type="pct"/>
          </w:tcPr>
          <w:p w:rsidR="00E200CF" w:rsidRDefault="00247A14" w:rsidP="00EB703D">
            <w:pPr>
              <w:pStyle w:val="TitlePagetext"/>
            </w:pPr>
            <w:bookmarkStart w:id="18" w:name="DateOrder"/>
            <w:bookmarkEnd w:id="18"/>
            <w:r>
              <w:t>26 February 2019</w:t>
            </w:r>
          </w:p>
        </w:tc>
      </w:tr>
      <w:tr w:rsidR="00E200CF" w:rsidTr="00EB703D">
        <w:tc>
          <w:tcPr>
            <w:tcW w:w="2084" w:type="pct"/>
          </w:tcPr>
          <w:p w:rsidR="00E200CF" w:rsidRDefault="00E200CF" w:rsidP="00EB703D">
            <w:pPr>
              <w:pStyle w:val="TitlePage2"/>
            </w:pPr>
            <w:r>
              <w:t>CITATION</w:t>
            </w:r>
          </w:p>
        </w:tc>
        <w:tc>
          <w:tcPr>
            <w:tcW w:w="2916" w:type="pct"/>
          </w:tcPr>
          <w:p w:rsidR="00E200CF" w:rsidRDefault="00247A14" w:rsidP="00EB703D">
            <w:pPr>
              <w:pStyle w:val="TitlePagetext"/>
            </w:pPr>
            <w:r>
              <w:t>Kromidas v Monash CC [2019] VCAT 248</w:t>
            </w:r>
          </w:p>
        </w:tc>
      </w:tr>
    </w:tbl>
    <w:p w:rsidR="00E200CF" w:rsidRDefault="00E200CF" w:rsidP="00E200CF"/>
    <w:p w:rsidR="00E200CF" w:rsidRDefault="00E200CF" w:rsidP="00E200CF">
      <w:pPr>
        <w:pStyle w:val="Heading1"/>
      </w:pPr>
      <w:r>
        <w:t>Order</w:t>
      </w:r>
    </w:p>
    <w:p w:rsidR="00E200CF" w:rsidRDefault="00E200CF" w:rsidP="00E200CF">
      <w:pPr>
        <w:pStyle w:val="Heading3"/>
      </w:pPr>
      <w:r>
        <w:t>Permit granted</w:t>
      </w:r>
    </w:p>
    <w:p w:rsidR="00E200CF" w:rsidRPr="00613A91" w:rsidRDefault="00E200CF" w:rsidP="00E200CF">
      <w:pPr>
        <w:pStyle w:val="Order2"/>
      </w:pPr>
      <w:r w:rsidRPr="00613A91">
        <w:t xml:space="preserve">In application </w:t>
      </w:r>
      <w:r w:rsidR="000421A8">
        <w:t xml:space="preserve">P1517/2018 </w:t>
      </w:r>
      <w:r w:rsidRPr="00613A91">
        <w:t>the decision of the responsible authority is set aside.</w:t>
      </w:r>
    </w:p>
    <w:p w:rsidR="00E200CF" w:rsidRPr="00613A91" w:rsidRDefault="00E200CF" w:rsidP="00E200CF">
      <w:pPr>
        <w:pStyle w:val="Order2"/>
      </w:pPr>
      <w:r w:rsidRPr="00613A91">
        <w:t xml:space="preserve">In planning permit application </w:t>
      </w:r>
      <w:r w:rsidR="000421A8" w:rsidRPr="00DE3043">
        <w:t>TPA/48580</w:t>
      </w:r>
      <w:r w:rsidRPr="00613A91">
        <w:t xml:space="preserve"> a permit is granted and directed to be issued for the land at </w:t>
      </w:r>
      <w:r w:rsidR="000421A8">
        <w:t xml:space="preserve">312 Huntingdale Road, Mount Waverley </w:t>
      </w:r>
      <w:r w:rsidRPr="00613A91">
        <w:t>in accordance with the endorsed plans and the conditions set out in Appendix A.  The permit allows:</w:t>
      </w:r>
    </w:p>
    <w:p w:rsidR="00E200CF" w:rsidRPr="000421A8" w:rsidRDefault="000421A8" w:rsidP="00E200CF">
      <w:pPr>
        <w:pStyle w:val="Para5"/>
      </w:pPr>
      <w:r w:rsidRPr="000421A8">
        <w:t>Development of three dwellings</w:t>
      </w:r>
    </w:p>
    <w:p w:rsidR="00E200CF" w:rsidRDefault="00E200CF" w:rsidP="00E200CF"/>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562"/>
        <w:gridCol w:w="1936"/>
        <w:gridCol w:w="3007"/>
      </w:tblGrid>
      <w:tr w:rsidR="00E200CF" w:rsidTr="00EB703D">
        <w:tc>
          <w:tcPr>
            <w:tcW w:w="2094" w:type="pct"/>
          </w:tcPr>
          <w:p w:rsidR="00E200CF" w:rsidRPr="00B876A2" w:rsidRDefault="00C21BA7" w:rsidP="00EB703D">
            <w:pPr>
              <w:rPr>
                <w:b/>
              </w:rPr>
            </w:pPr>
            <w:bookmarkStart w:id="19" w:name="DELappearances"/>
            <w:r w:rsidRPr="00C21BA7">
              <w:rPr>
                <w:b/>
              </w:rPr>
              <w:t>Jane Tait</w:t>
            </w:r>
          </w:p>
          <w:p w:rsidR="00E200CF" w:rsidRDefault="00E200CF" w:rsidP="00EB703D">
            <w:pPr>
              <w:tabs>
                <w:tab w:val="left" w:pos="1515"/>
              </w:tabs>
              <w:rPr>
                <w:b/>
              </w:rPr>
            </w:pPr>
            <w:r>
              <w:rPr>
                <w:b/>
              </w:rPr>
              <w:t>Member</w:t>
            </w:r>
          </w:p>
        </w:tc>
        <w:tc>
          <w:tcPr>
            <w:tcW w:w="1138" w:type="pct"/>
          </w:tcPr>
          <w:p w:rsidR="00E200CF" w:rsidRDefault="00E200CF" w:rsidP="00EB703D"/>
        </w:tc>
        <w:tc>
          <w:tcPr>
            <w:tcW w:w="1768" w:type="pct"/>
          </w:tcPr>
          <w:p w:rsidR="00E200CF" w:rsidRDefault="00E200CF" w:rsidP="00EB703D"/>
        </w:tc>
      </w:tr>
    </w:tbl>
    <w:p w:rsidR="00E200CF" w:rsidRDefault="00E200CF" w:rsidP="00E200CF"/>
    <w:p w:rsidR="00E200CF" w:rsidRDefault="00E200CF" w:rsidP="00E200CF"/>
    <w:p w:rsidR="00E200CF" w:rsidRDefault="00E92A1F" w:rsidP="00E200CF">
      <w:pPr>
        <w:pStyle w:val="Heading1"/>
        <w:rPr>
          <w:highlight w:val="yellow"/>
        </w:rPr>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rsidTr="00EB703D">
        <w:trPr>
          <w:cantSplit/>
        </w:trPr>
        <w:tc>
          <w:tcPr>
            <w:tcW w:w="2023" w:type="pct"/>
          </w:tcPr>
          <w:p w:rsidR="00E200CF" w:rsidRDefault="00E200CF" w:rsidP="00080E1F">
            <w:pPr>
              <w:pStyle w:val="TitlePagetext"/>
            </w:pPr>
            <w:r>
              <w:t xml:space="preserve">For </w:t>
            </w:r>
            <w:r w:rsidR="00080E1F">
              <w:t>Jim Kromidas</w:t>
            </w:r>
          </w:p>
        </w:tc>
        <w:tc>
          <w:tcPr>
            <w:tcW w:w="2977" w:type="pct"/>
          </w:tcPr>
          <w:p w:rsidR="00E200CF" w:rsidRDefault="00080E1F" w:rsidP="00EB703D">
            <w:pPr>
              <w:pStyle w:val="TitlePagetext"/>
            </w:pPr>
            <w:r>
              <w:t>Ms Maggie Cusin, town planner, Plans in Motion Pty Ltd</w:t>
            </w:r>
          </w:p>
        </w:tc>
      </w:tr>
      <w:tr w:rsidR="00E200CF" w:rsidTr="00EB703D">
        <w:trPr>
          <w:cantSplit/>
        </w:trPr>
        <w:tc>
          <w:tcPr>
            <w:tcW w:w="2023" w:type="pct"/>
          </w:tcPr>
          <w:p w:rsidR="00E200CF" w:rsidRDefault="00E200CF" w:rsidP="00080E1F">
            <w:pPr>
              <w:pStyle w:val="TitlePagetext"/>
            </w:pPr>
            <w:r>
              <w:t xml:space="preserve">For </w:t>
            </w:r>
            <w:r w:rsidR="00080E1F">
              <w:t>Monash City Council</w:t>
            </w:r>
          </w:p>
        </w:tc>
        <w:tc>
          <w:tcPr>
            <w:tcW w:w="2977" w:type="pct"/>
          </w:tcPr>
          <w:p w:rsidR="00E200CF" w:rsidRDefault="00080E1F" w:rsidP="00EB703D">
            <w:pPr>
              <w:pStyle w:val="TitlePagetext"/>
            </w:pPr>
            <w:r>
              <w:t>Ms Andrianne Kellock, town planner, Kellock Town Planning</w:t>
            </w:r>
          </w:p>
        </w:tc>
      </w:tr>
    </w:tbl>
    <w:bookmarkEnd w:id="19"/>
    <w:p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rsidTr="00EB703D">
        <w:trPr>
          <w:cantSplit/>
        </w:trPr>
        <w:tc>
          <w:tcPr>
            <w:tcW w:w="1924" w:type="pct"/>
          </w:tcPr>
          <w:p w:rsidR="00E200CF" w:rsidRDefault="00E200CF" w:rsidP="00EB703D">
            <w:pPr>
              <w:pStyle w:val="TitlePagetext"/>
            </w:pPr>
            <w:r>
              <w:t>Description of proposal</w:t>
            </w:r>
          </w:p>
        </w:tc>
        <w:tc>
          <w:tcPr>
            <w:tcW w:w="3076" w:type="pct"/>
          </w:tcPr>
          <w:p w:rsidR="00080E1F" w:rsidRDefault="00080E1F" w:rsidP="00EB703D">
            <w:pPr>
              <w:pStyle w:val="TitlePagetext"/>
            </w:pPr>
            <w:r>
              <w:t>To construct three, two storey dwellings</w:t>
            </w:r>
            <w:r w:rsidR="00247A14">
              <w:t xml:space="preserve"> all</w:t>
            </w:r>
            <w:r>
              <w:t xml:space="preserve"> facing Imperial Avenue.  </w:t>
            </w:r>
            <w:r w:rsidR="00066BB5">
              <w:t>Each</w:t>
            </w:r>
            <w:r>
              <w:t xml:space="preserve"> dwelling include</w:t>
            </w:r>
            <w:r w:rsidR="00066BB5">
              <w:t xml:space="preserve">s a </w:t>
            </w:r>
            <w:r>
              <w:t xml:space="preserve">ground floor kitchen, living area, dining room, laundry, bathroom and powder room.  The first floor contains </w:t>
            </w:r>
            <w:r w:rsidR="001C0B65">
              <w:t>two bedrooms, sitting room and bathroom.</w:t>
            </w:r>
          </w:p>
          <w:p w:rsidR="001C0B65" w:rsidRPr="00851E10" w:rsidRDefault="00066BB5" w:rsidP="00EB703D">
            <w:pPr>
              <w:pStyle w:val="TitlePagetext"/>
            </w:pPr>
            <w:r>
              <w:t>The</w:t>
            </w:r>
            <w:r w:rsidR="001C0B65">
              <w:t xml:space="preserve"> dwelling</w:t>
            </w:r>
            <w:r>
              <w:t>s</w:t>
            </w:r>
            <w:r w:rsidR="001C0B65">
              <w:t xml:space="preserve"> </w:t>
            </w:r>
            <w:r w:rsidR="00247A14">
              <w:t xml:space="preserve">each </w:t>
            </w:r>
            <w:r w:rsidR="001C0B65">
              <w:t>ha</w:t>
            </w:r>
            <w:r>
              <w:t>ve</w:t>
            </w:r>
            <w:r w:rsidR="001C0B65">
              <w:t xml:space="preserve"> a single garage with access from a single crossover onto Imperial Avenue.  </w:t>
            </w:r>
          </w:p>
        </w:tc>
      </w:tr>
      <w:tr w:rsidR="00E200CF" w:rsidTr="00EB703D">
        <w:trPr>
          <w:cantSplit/>
        </w:trPr>
        <w:tc>
          <w:tcPr>
            <w:tcW w:w="1924" w:type="pct"/>
          </w:tcPr>
          <w:p w:rsidR="00E200CF" w:rsidRDefault="00E200CF" w:rsidP="00EB703D">
            <w:pPr>
              <w:pStyle w:val="TitlePagetext"/>
            </w:pPr>
            <w:r>
              <w:t>Nature of proceeding</w:t>
            </w:r>
          </w:p>
        </w:tc>
        <w:tc>
          <w:tcPr>
            <w:tcW w:w="3076" w:type="pct"/>
          </w:tcPr>
          <w:p w:rsidR="00E200CF" w:rsidRPr="00851E10" w:rsidRDefault="00E200CF" w:rsidP="00EB703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1C0B65" w:rsidTr="00EB703D">
        <w:trPr>
          <w:cantSplit/>
        </w:trPr>
        <w:tc>
          <w:tcPr>
            <w:tcW w:w="1924" w:type="pct"/>
          </w:tcPr>
          <w:p w:rsidR="001C0B65" w:rsidRPr="005C699E" w:rsidRDefault="001C0B65" w:rsidP="00EB703D">
            <w:pPr>
              <w:pStyle w:val="TitlePagetext"/>
            </w:pPr>
            <w:r>
              <w:t>Planning scheme</w:t>
            </w:r>
          </w:p>
        </w:tc>
        <w:tc>
          <w:tcPr>
            <w:tcW w:w="3076" w:type="pct"/>
          </w:tcPr>
          <w:p w:rsidR="001C0B65" w:rsidRPr="00851E10" w:rsidRDefault="001C0B65" w:rsidP="007C5025">
            <w:pPr>
              <w:pStyle w:val="TitlePagetext"/>
            </w:pPr>
            <w:r>
              <w:t xml:space="preserve">Monash Planning Scheme </w:t>
            </w:r>
          </w:p>
        </w:tc>
      </w:tr>
      <w:tr w:rsidR="001C0B65" w:rsidTr="00EB703D">
        <w:trPr>
          <w:cantSplit/>
        </w:trPr>
        <w:tc>
          <w:tcPr>
            <w:tcW w:w="1924" w:type="pct"/>
          </w:tcPr>
          <w:p w:rsidR="001C0B65" w:rsidRDefault="001C0B65" w:rsidP="00EB703D">
            <w:pPr>
              <w:pStyle w:val="TitlePagetext"/>
            </w:pPr>
            <w:r w:rsidRPr="005C699E">
              <w:t xml:space="preserve">Zone and </w:t>
            </w:r>
            <w:r>
              <w:t>o</w:t>
            </w:r>
            <w:r w:rsidRPr="005C699E">
              <w:t>verlays</w:t>
            </w:r>
          </w:p>
        </w:tc>
        <w:tc>
          <w:tcPr>
            <w:tcW w:w="3076" w:type="pct"/>
          </w:tcPr>
          <w:p w:rsidR="001C0B65" w:rsidRPr="00851E10" w:rsidRDefault="001C0B65" w:rsidP="007C5025">
            <w:pPr>
              <w:pStyle w:val="TitlePagetext"/>
            </w:pPr>
            <w:r>
              <w:t>General Residential Zone Schedule 2 (GRZ2)</w:t>
            </w:r>
          </w:p>
        </w:tc>
      </w:tr>
      <w:tr w:rsidR="001C0B65" w:rsidTr="00EB703D">
        <w:trPr>
          <w:cantSplit/>
        </w:trPr>
        <w:tc>
          <w:tcPr>
            <w:tcW w:w="1924" w:type="pct"/>
          </w:tcPr>
          <w:p w:rsidR="001C0B65" w:rsidRPr="005C699E" w:rsidRDefault="001C0B65" w:rsidP="00EB703D">
            <w:pPr>
              <w:pStyle w:val="TitlePagetext"/>
            </w:pPr>
            <w:r>
              <w:t>Permit requirements</w:t>
            </w:r>
          </w:p>
        </w:tc>
        <w:tc>
          <w:tcPr>
            <w:tcW w:w="3076" w:type="pct"/>
          </w:tcPr>
          <w:p w:rsidR="001C0B65" w:rsidRPr="00851E10" w:rsidRDefault="001C0B65" w:rsidP="007C5025">
            <w:pPr>
              <w:pStyle w:val="TitlePagetext"/>
            </w:pPr>
            <w:r>
              <w:t>Clause 32.08-6 – Construct two or more dwellings on a lot</w:t>
            </w:r>
          </w:p>
        </w:tc>
      </w:tr>
      <w:tr w:rsidR="00E200CF" w:rsidTr="00EB703D">
        <w:trPr>
          <w:cantSplit/>
        </w:trPr>
        <w:tc>
          <w:tcPr>
            <w:tcW w:w="1924" w:type="pct"/>
          </w:tcPr>
          <w:p w:rsidR="00E200CF" w:rsidRDefault="00E92A1F" w:rsidP="00EB703D">
            <w:pPr>
              <w:pStyle w:val="TitlePagetext"/>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rsidR="00E200CF" w:rsidRDefault="00ED5EE4" w:rsidP="00EB703D">
            <w:pPr>
              <w:pStyle w:val="TitlePagetext"/>
            </w:pPr>
            <w:r>
              <w:t>The site is located on the north-east corner of Huntingdale Road and Imperial Avenue, Mount Waverley.  It has a 13.72 metre frontage, depth of 40.23 metres</w:t>
            </w:r>
            <w:r w:rsidR="005A71DF">
              <w:t xml:space="preserve"> </w:t>
            </w:r>
            <w:r>
              <w:t>and site area of 780 square metres.</w:t>
            </w:r>
          </w:p>
          <w:p w:rsidR="00ED5EE4" w:rsidRDefault="00ED5EE4" w:rsidP="001B0A67">
            <w:pPr>
              <w:pStyle w:val="TitlePagetext"/>
            </w:pPr>
            <w:r>
              <w:t>The site is occupied by a single storey brick veneer detached dwelling that is set back approximately 1</w:t>
            </w:r>
            <w:r w:rsidR="001B0A67">
              <w:t>0.5</w:t>
            </w:r>
            <w:r>
              <w:t xml:space="preserve"> metres from the frontage and </w:t>
            </w:r>
            <w:r w:rsidR="001B0A67">
              <w:t>a minimum of 3 metres from Imperial Avenue.  There is a 1.83 metre wide drainage and sewerage easement along the east (rear) boundary.  The site has a slight slope from rear to front.</w:t>
            </w:r>
          </w:p>
          <w:p w:rsidR="001B0A67" w:rsidRDefault="001B0A67" w:rsidP="001B0A67">
            <w:pPr>
              <w:pStyle w:val="TitlePagetext"/>
            </w:pPr>
            <w:r>
              <w:t>There is a double garage and crossover with access to Imperial Avenue and separate crossover with access to the rear yard.</w:t>
            </w:r>
            <w:r w:rsidR="005A71DF">
              <w:t xml:space="preserve">  </w:t>
            </w:r>
          </w:p>
          <w:p w:rsidR="005A71DF" w:rsidRDefault="005A71DF" w:rsidP="001B0A67">
            <w:pPr>
              <w:pStyle w:val="TitlePagetext"/>
            </w:pPr>
            <w:r>
              <w:t xml:space="preserve">There is a 1.8 metre high brick and paling fence along both street frontages.  A Liquidambar (10 metres high) </w:t>
            </w:r>
            <w:r w:rsidR="00066BB5">
              <w:t xml:space="preserve">and other canopy trees are </w:t>
            </w:r>
            <w:r>
              <w:t>growing in the frontage setback.</w:t>
            </w:r>
          </w:p>
          <w:p w:rsidR="00871FB9" w:rsidRDefault="00B70487" w:rsidP="00871FB9">
            <w:pPr>
              <w:pStyle w:val="TitlePagetext"/>
            </w:pPr>
            <w:r>
              <w:t>Immediately north is a single storey brick veneer dwelling at 310 Huntingdale Road</w:t>
            </w:r>
            <w:r w:rsidR="00871FB9">
              <w:t xml:space="preserve">.  This dwelling </w:t>
            </w:r>
            <w:r>
              <w:t>is set back 10.4 metres from the frontage</w:t>
            </w:r>
            <w:r w:rsidR="00871FB9">
              <w:t xml:space="preserve"> and has low front fence</w:t>
            </w:r>
            <w:r>
              <w:t xml:space="preserve">.  </w:t>
            </w:r>
          </w:p>
          <w:p w:rsidR="00B70487" w:rsidRPr="00851E10" w:rsidRDefault="00B70487" w:rsidP="00835428">
            <w:pPr>
              <w:pStyle w:val="TitlePagetext"/>
            </w:pPr>
            <w:r>
              <w:t xml:space="preserve">The site abuts the rear yard of </w:t>
            </w:r>
            <w:r w:rsidR="00871FB9">
              <w:t>a single dwelling at 19 Hillview Avenue.</w:t>
            </w:r>
            <w:r w:rsidR="00835428">
              <w:t xml:space="preserve">  There is a fibro shed located approximately 2 metres from the common boundary.</w:t>
            </w:r>
          </w:p>
        </w:tc>
      </w:tr>
      <w:tr w:rsidR="00E200CF" w:rsidTr="00EB703D">
        <w:trPr>
          <w:cantSplit/>
        </w:trPr>
        <w:tc>
          <w:tcPr>
            <w:tcW w:w="1924" w:type="pct"/>
          </w:tcPr>
          <w:p w:rsidR="00E200CF" w:rsidRDefault="00E200CF" w:rsidP="00EB703D">
            <w:pPr>
              <w:pStyle w:val="TitlePagetext"/>
            </w:pPr>
            <w:r>
              <w:t>Tribunal inspection</w:t>
            </w:r>
          </w:p>
        </w:tc>
        <w:tc>
          <w:tcPr>
            <w:tcW w:w="3076" w:type="pct"/>
          </w:tcPr>
          <w:p w:rsidR="00E200CF" w:rsidRPr="00851E10" w:rsidRDefault="001B0A67" w:rsidP="00247A14">
            <w:pPr>
              <w:pStyle w:val="TitlePagetext"/>
            </w:pPr>
            <w:r>
              <w:t xml:space="preserve">Unaccompanied site inspection on 13 February </w:t>
            </w:r>
            <w:r w:rsidRPr="00827BD2">
              <w:t>2019</w:t>
            </w:r>
            <w:r w:rsidR="005A71DF" w:rsidRPr="00827BD2">
              <w:t xml:space="preserve"> and</w:t>
            </w:r>
            <w:r w:rsidR="005A71DF">
              <w:t xml:space="preserve"> </w:t>
            </w:r>
            <w:r w:rsidR="00247A14">
              <w:t xml:space="preserve">25 February </w:t>
            </w:r>
            <w:r w:rsidR="00827BD2">
              <w:t>2019</w:t>
            </w:r>
          </w:p>
        </w:tc>
      </w:tr>
    </w:tbl>
    <w:p w:rsidR="00E200CF" w:rsidRDefault="00E200CF" w:rsidP="00E200CF">
      <w:pPr>
        <w:pStyle w:val="Order1"/>
      </w:pPr>
    </w:p>
    <w:p w:rsidR="00E200CF" w:rsidRDefault="00E200CF" w:rsidP="00E200CF">
      <w:pPr>
        <w:pStyle w:val="Heading1"/>
      </w:pPr>
      <w:r>
        <w:br w:type="page"/>
      </w:r>
      <w:r w:rsidR="00E92A1F">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E200CF" w:rsidRDefault="00E200CF" w:rsidP="00E200CF">
      <w:pPr>
        <w:pStyle w:val="Heading2"/>
      </w:pPr>
      <w:r>
        <w:t xml:space="preserve">What is this </w:t>
      </w:r>
      <w:r w:rsidRPr="004413F4">
        <w:t>proceeding</w:t>
      </w:r>
      <w:r>
        <w:t xml:space="preserve"> about?</w:t>
      </w:r>
    </w:p>
    <w:p w:rsidR="00BB7D21" w:rsidRDefault="00CE0DEF" w:rsidP="00CE0DEF">
      <w:pPr>
        <w:pStyle w:val="Para1"/>
      </w:pPr>
      <w:r w:rsidRPr="006F35D1">
        <w:rPr>
          <w:lang w:eastAsia="en-AU"/>
        </w:rPr>
        <w:t xml:space="preserve">This is an application to review </w:t>
      </w:r>
      <w:r>
        <w:rPr>
          <w:lang w:eastAsia="en-AU"/>
        </w:rPr>
        <w:t>Monash City Council’s refusal</w:t>
      </w:r>
      <w:r w:rsidRPr="006F35D1">
        <w:rPr>
          <w:lang w:eastAsia="en-AU"/>
        </w:rPr>
        <w:t xml:space="preserve"> to grant a permit for the </w:t>
      </w:r>
      <w:r>
        <w:rPr>
          <w:lang w:eastAsia="en-AU"/>
        </w:rPr>
        <w:t xml:space="preserve">construction of three, two storey dwellings at 312 Huntingdale Road, Mount Waverley. </w:t>
      </w:r>
      <w:r w:rsidRPr="006F35D1">
        <w:rPr>
          <w:lang w:eastAsia="en-AU"/>
        </w:rPr>
        <w:t xml:space="preserve"> </w:t>
      </w:r>
      <w:r>
        <w:t>The grounds of refusal relate to the impact of the proposal on the neighbourhood character</w:t>
      </w:r>
      <w:r w:rsidR="0064688A">
        <w:t xml:space="preserve"> and adverse impacts on the landscape character.   </w:t>
      </w:r>
    </w:p>
    <w:p w:rsidR="00CE0DEF" w:rsidRDefault="0064688A" w:rsidP="00CE0DEF">
      <w:pPr>
        <w:pStyle w:val="Para1"/>
      </w:pPr>
      <w:r>
        <w:t xml:space="preserve">Other grounds of refusal include </w:t>
      </w:r>
      <w:r w:rsidR="00CE0DEF">
        <w:t xml:space="preserve">the failure to meet the standards and objectives of Clause 55 relating to integration with the street, site layout, building massing, access, overlooking, private open space, design </w:t>
      </w:r>
      <w:r w:rsidR="00C2153A">
        <w:t xml:space="preserve">detail </w:t>
      </w:r>
      <w:r w:rsidR="00CE0DEF">
        <w:t xml:space="preserve">and front fencing.  </w:t>
      </w:r>
      <w:r w:rsidR="00C2153A">
        <w:t>A</w:t>
      </w:r>
      <w:r w:rsidR="00CE0DEF">
        <w:t xml:space="preserve"> ground </w:t>
      </w:r>
      <w:r w:rsidR="00C2153A">
        <w:t xml:space="preserve">has been included </w:t>
      </w:r>
      <w:r w:rsidR="00CE0DEF">
        <w:t xml:space="preserve">relating to </w:t>
      </w:r>
      <w:r w:rsidR="00BB7D21">
        <w:t xml:space="preserve">inadequate provision of car parking and the development </w:t>
      </w:r>
      <w:r w:rsidR="00C81607">
        <w:t>is in</w:t>
      </w:r>
      <w:r w:rsidR="00BB7D21">
        <w:t>consistent with the future zoning of the land under the adopted Amendment C125 of the Monash Planning Scheme.</w:t>
      </w:r>
    </w:p>
    <w:p w:rsidR="00C718C2" w:rsidRDefault="00C718C2" w:rsidP="00CE0DEF">
      <w:pPr>
        <w:pStyle w:val="Para1"/>
      </w:pPr>
      <w:r>
        <w:t xml:space="preserve">The applicant argues the development </w:t>
      </w:r>
      <w:r w:rsidR="003F0545">
        <w:t xml:space="preserve">is </w:t>
      </w:r>
      <w:r w:rsidR="008835CF">
        <w:t>a modest development in a st</w:t>
      </w:r>
      <w:r w:rsidR="003F0545">
        <w:t>rategic locat</w:t>
      </w:r>
      <w:r w:rsidR="008835CF">
        <w:t>ion</w:t>
      </w:r>
      <w:r w:rsidR="003F0545">
        <w:t xml:space="preserve"> in close proximity to a train station and </w:t>
      </w:r>
      <w:r w:rsidR="00C81607">
        <w:t>that</w:t>
      </w:r>
      <w:r w:rsidR="003F0545">
        <w:t xml:space="preserve"> </w:t>
      </w:r>
      <w:r>
        <w:t>respects the existing and emerging neighbourhood character</w:t>
      </w:r>
      <w:r w:rsidR="003F0545">
        <w:t xml:space="preserve">.  </w:t>
      </w:r>
      <w:r w:rsidR="00C81607">
        <w:t>She</w:t>
      </w:r>
      <w:r w:rsidR="003F0545">
        <w:t xml:space="preserve"> submits </w:t>
      </w:r>
      <w:r w:rsidR="00C81607">
        <w:t>the development</w:t>
      </w:r>
      <w:r>
        <w:t xml:space="preserve"> satisfies the objectives and standards of Clause 55.</w:t>
      </w:r>
    </w:p>
    <w:p w:rsidR="002B1FD0" w:rsidRDefault="002B1FD0" w:rsidP="00CE0DEF">
      <w:pPr>
        <w:pStyle w:val="Para1"/>
      </w:pPr>
      <w:r>
        <w:t xml:space="preserve">A statement of grounds was received from the adjoining owner/occupier to the rear </w:t>
      </w:r>
      <w:r w:rsidR="00EE4515">
        <w:t xml:space="preserve">(east) </w:t>
      </w:r>
      <w:r>
        <w:t>in Hillview Avenue.  The objector raise</w:t>
      </w:r>
      <w:r w:rsidR="00EE4515">
        <w:t>s</w:t>
      </w:r>
      <w:r>
        <w:t xml:space="preserve"> concerns about overlooking, car parking, </w:t>
      </w:r>
      <w:r w:rsidR="00C81607">
        <w:t>over</w:t>
      </w:r>
      <w:r>
        <w:t xml:space="preserve">development and </w:t>
      </w:r>
      <w:r w:rsidR="004F6FFF">
        <w:t>detrimental impacts on future development of the area.</w:t>
      </w:r>
    </w:p>
    <w:p w:rsidR="00E200CF" w:rsidRDefault="00E200CF" w:rsidP="003F0545">
      <w:pPr>
        <w:pStyle w:val="Heading2"/>
      </w:pPr>
      <w:r>
        <w:t>What are the key issues?</w:t>
      </w:r>
    </w:p>
    <w:p w:rsidR="004F6FFF" w:rsidRDefault="004F6FFF" w:rsidP="004F6FFF">
      <w:pPr>
        <w:pStyle w:val="Para1"/>
        <w:rPr>
          <w:lang w:eastAsia="en-AU"/>
        </w:rPr>
      </w:pPr>
      <w:r w:rsidRPr="00D81DFB">
        <w:rPr>
          <w:lang w:eastAsia="en-AU"/>
        </w:rPr>
        <w:t>Having considered the submissions and inspected the subject land and locality</w:t>
      </w:r>
      <w:r>
        <w:rPr>
          <w:lang w:eastAsia="en-AU"/>
        </w:rPr>
        <w:t>,</w:t>
      </w:r>
      <w:r w:rsidRPr="00D81DFB">
        <w:rPr>
          <w:lang w:eastAsia="en-AU"/>
        </w:rPr>
        <w:t xml:space="preserve"> I </w:t>
      </w:r>
      <w:r>
        <w:rPr>
          <w:lang w:eastAsia="en-AU"/>
        </w:rPr>
        <w:t>find</w:t>
      </w:r>
      <w:r w:rsidRPr="00D81DFB">
        <w:rPr>
          <w:lang w:eastAsia="en-AU"/>
        </w:rPr>
        <w:t xml:space="preserve"> the following key issues in this matter</w:t>
      </w:r>
      <w:r>
        <w:rPr>
          <w:lang w:eastAsia="en-AU"/>
        </w:rPr>
        <w:t xml:space="preserve"> are</w:t>
      </w:r>
      <w:r w:rsidRPr="00D81DFB">
        <w:rPr>
          <w:lang w:eastAsia="en-AU"/>
        </w:rPr>
        <w:t>:</w:t>
      </w:r>
    </w:p>
    <w:p w:rsidR="004F6FFF" w:rsidRDefault="004F6FFF" w:rsidP="004F6FFF">
      <w:pPr>
        <w:pStyle w:val="Para5"/>
        <w:rPr>
          <w:lang w:eastAsia="en-AU"/>
        </w:rPr>
      </w:pPr>
      <w:r>
        <w:rPr>
          <w:lang w:eastAsia="en-AU"/>
        </w:rPr>
        <w:t>Has the development responded to its zoning and policy context?</w:t>
      </w:r>
    </w:p>
    <w:p w:rsidR="00076E22" w:rsidRDefault="00076E22" w:rsidP="004F6FFF">
      <w:pPr>
        <w:pStyle w:val="Para5"/>
        <w:rPr>
          <w:lang w:eastAsia="en-AU"/>
        </w:rPr>
      </w:pPr>
      <w:r>
        <w:rPr>
          <w:lang w:eastAsia="en-AU"/>
        </w:rPr>
        <w:t>What weight should be given to the future zoning of the land under adopted Amendment C125?</w:t>
      </w:r>
    </w:p>
    <w:p w:rsidR="004F6FFF" w:rsidRDefault="004F6FFF" w:rsidP="004F6FFF">
      <w:pPr>
        <w:pStyle w:val="Para5"/>
        <w:rPr>
          <w:lang w:eastAsia="en-AU"/>
        </w:rPr>
      </w:pPr>
      <w:r>
        <w:rPr>
          <w:lang w:eastAsia="en-AU"/>
        </w:rPr>
        <w:t>Is the development an acceptable response to the preferred neighbourhood character?</w:t>
      </w:r>
    </w:p>
    <w:p w:rsidR="004F6FFF" w:rsidRDefault="004F6FFF" w:rsidP="004F6FFF">
      <w:pPr>
        <w:pStyle w:val="Para5"/>
        <w:rPr>
          <w:lang w:eastAsia="en-AU"/>
        </w:rPr>
      </w:pPr>
      <w:r>
        <w:rPr>
          <w:lang w:eastAsia="en-AU"/>
        </w:rPr>
        <w:t>Will the development have adverse amenity impacts on adjoining properties and future residents?</w:t>
      </w:r>
    </w:p>
    <w:p w:rsidR="00B1013A" w:rsidRDefault="00B1013A" w:rsidP="004F6FFF">
      <w:pPr>
        <w:pStyle w:val="Para5"/>
        <w:rPr>
          <w:lang w:eastAsia="en-AU"/>
        </w:rPr>
      </w:pPr>
      <w:r>
        <w:rPr>
          <w:lang w:eastAsia="en-AU"/>
        </w:rPr>
        <w:t>Is the provision of car parking satisfactory?</w:t>
      </w:r>
    </w:p>
    <w:p w:rsidR="004F6FFF" w:rsidRPr="000F4CFD" w:rsidRDefault="004F6FFF" w:rsidP="004F6FFF">
      <w:pPr>
        <w:pStyle w:val="Para1"/>
        <w:rPr>
          <w:lang w:eastAsia="en-AU"/>
        </w:rPr>
      </w:pPr>
      <w:r>
        <w:rPr>
          <w:lang w:eastAsia="en-AU"/>
        </w:rPr>
        <w:t xml:space="preserve">I have decided to </w:t>
      </w:r>
      <w:r>
        <w:t xml:space="preserve">set aside </w:t>
      </w:r>
      <w:r w:rsidRPr="007A0479">
        <w:t>the decision</w:t>
      </w:r>
      <w:r>
        <w:t xml:space="preserve"> of council and direct that a permit be granted subject to amendments.  </w:t>
      </w:r>
      <w:r w:rsidR="0061634A">
        <w:t>Whilst the development will provide for housing diversity in this area, it r</w:t>
      </w:r>
      <w:r>
        <w:t xml:space="preserve">equires modification to respond to the </w:t>
      </w:r>
      <w:r w:rsidR="00E92A1F">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preferred neighbourhood character</w:t>
      </w:r>
      <w:r w:rsidR="00971D9A">
        <w:t>.  This</w:t>
      </w:r>
      <w:r>
        <w:t xml:space="preserve"> can be </w:t>
      </w:r>
      <w:r w:rsidR="00971D9A">
        <w:t>addressed</w:t>
      </w:r>
      <w:r>
        <w:t xml:space="preserve"> </w:t>
      </w:r>
      <w:r w:rsidR="00C81607">
        <w:t>by</w:t>
      </w:r>
      <w:r>
        <w:t xml:space="preserve"> permit condition</w:t>
      </w:r>
      <w:r w:rsidR="00971D9A">
        <w:t>s</w:t>
      </w:r>
      <w:r>
        <w:t>.</w:t>
      </w:r>
      <w:r>
        <w:rPr>
          <w:lang w:eastAsia="en-AU"/>
        </w:rPr>
        <w:t xml:space="preserve">  My reasons follow. </w:t>
      </w:r>
    </w:p>
    <w:p w:rsidR="00E70FBD" w:rsidRDefault="00E70FBD" w:rsidP="00E70FBD">
      <w:pPr>
        <w:pStyle w:val="Heading3"/>
      </w:pPr>
      <w:r>
        <w:t xml:space="preserve">Zoning </w:t>
      </w:r>
    </w:p>
    <w:p w:rsidR="00E70FBD" w:rsidRDefault="00E70FBD" w:rsidP="00E70FBD">
      <w:pPr>
        <w:pStyle w:val="Para1"/>
        <w:rPr>
          <w:lang w:eastAsia="en-AU"/>
        </w:rPr>
      </w:pPr>
      <w:r>
        <w:t>The review site is located within a General Residential Zone 2 (GRZ2).  This zone has purposes including:</w:t>
      </w:r>
    </w:p>
    <w:p w:rsidR="00E70FBD" w:rsidRDefault="00E70FBD" w:rsidP="00E70FBD">
      <w:pPr>
        <w:pStyle w:val="Quote1"/>
      </w:pPr>
      <w:r>
        <w:t>To implement the State Planning Policy Framework and the Local Planning Policy Framework, including the Municipal Strategic Statement and local planning policies.</w:t>
      </w:r>
    </w:p>
    <w:p w:rsidR="00E70FBD" w:rsidRDefault="00E70FBD" w:rsidP="00E70FBD">
      <w:pPr>
        <w:pStyle w:val="Quote1"/>
      </w:pPr>
      <w:r>
        <w:t xml:space="preserve">To encourage development that respects the neighbourhood character of the area. </w:t>
      </w:r>
    </w:p>
    <w:p w:rsidR="00E70FBD" w:rsidRDefault="00E70FBD" w:rsidP="00E70FBD">
      <w:pPr>
        <w:pStyle w:val="Quote1"/>
      </w:pPr>
      <w:r>
        <w:t>To encourage a diversity of housing types and housing growth particularly in locations offering good access to services and transport.</w:t>
      </w:r>
      <w:r>
        <w:rPr>
          <w:rStyle w:val="FootnoteReference"/>
        </w:rPr>
        <w:footnoteReference w:id="2"/>
      </w:r>
    </w:p>
    <w:p w:rsidR="00E70FBD" w:rsidRDefault="00E70FBD" w:rsidP="00E70FBD">
      <w:pPr>
        <w:pStyle w:val="Para1"/>
      </w:pPr>
      <w:r>
        <w:rPr>
          <w:lang w:eastAsia="en-AU"/>
        </w:rPr>
        <w:t>The GRZ2 contains three variations to Clause 55 including Standard B6 that specifies a frontage setback of 7.6 metres.  Standard B28 varies the private open space requirements to consist of a</w:t>
      </w:r>
      <w:r>
        <w:t xml:space="preserve">n area of 75 square metres, with one part of the private open space at the side or the rear of the dwelling with a minimum area of 35 square metres, a minimum width of 5 metres and convenient access from a living room and </w:t>
      </w:r>
      <w:r>
        <w:rPr>
          <w:lang w:eastAsia="en-AU"/>
        </w:rPr>
        <w:t>Standard B32 is varied to specify a maximum front fence height of 1.2 metres, regardless of whether or not it is on a main road.</w:t>
      </w:r>
    </w:p>
    <w:p w:rsidR="00EE4515" w:rsidRDefault="008835CF" w:rsidP="00E70FBD">
      <w:pPr>
        <w:pStyle w:val="Para1"/>
      </w:pPr>
      <w:r>
        <w:t xml:space="preserve">Council included a ground of refusal </w:t>
      </w:r>
      <w:r w:rsidR="005A479C">
        <w:t xml:space="preserve">that </w:t>
      </w:r>
      <w:r>
        <w:t>t</w:t>
      </w:r>
      <w:r w:rsidR="00E70FBD">
        <w:t xml:space="preserve">he development fails to meet the open space (Standard B28) and front fence (Standard B32) requirements.  </w:t>
      </w:r>
      <w:r w:rsidR="00995119">
        <w:t xml:space="preserve">It says the </w:t>
      </w:r>
      <w:r w:rsidR="00D96D83">
        <w:t xml:space="preserve">total </w:t>
      </w:r>
      <w:r w:rsidR="00995119">
        <w:t xml:space="preserve">provision of open space for Dwelling 2 is </w:t>
      </w:r>
      <w:r w:rsidR="00D96D83">
        <w:t xml:space="preserve">slightly less than </w:t>
      </w:r>
      <w:r w:rsidR="00C81607">
        <w:t xml:space="preserve">that </w:t>
      </w:r>
      <w:r w:rsidR="00D96D83">
        <w:t xml:space="preserve">required </w:t>
      </w:r>
      <w:r w:rsidR="00C81607">
        <w:t>in</w:t>
      </w:r>
      <w:r w:rsidR="00D96D83">
        <w:t xml:space="preserve"> the schedule.  </w:t>
      </w:r>
    </w:p>
    <w:p w:rsidR="00CE698C" w:rsidRDefault="00CE698C" w:rsidP="00E70FBD">
      <w:pPr>
        <w:pStyle w:val="Para1"/>
      </w:pPr>
      <w:r>
        <w:t xml:space="preserve">Council conceded at the hearing </w:t>
      </w:r>
      <w:r w:rsidR="005A479C">
        <w:t xml:space="preserve">that </w:t>
      </w:r>
      <w:r>
        <w:t xml:space="preserve">the total open space provision </w:t>
      </w:r>
      <w:r w:rsidR="00C81607">
        <w:t xml:space="preserve">of Dwelling 2 </w:t>
      </w:r>
      <w:r>
        <w:t>is likely to meet the varied standard given the dimensions of the frontage setback of this dwelling.</w:t>
      </w:r>
      <w:r w:rsidR="00EE4515">
        <w:t xml:space="preserve">  I accept </w:t>
      </w:r>
      <w:r w:rsidR="00C81607">
        <w:t xml:space="preserve">that </w:t>
      </w:r>
      <w:r w:rsidR="00EE4515">
        <w:t>the provision of open space meets the requirements of the zone and adequate space has been provided for the reasonable recreational needs of the occupants</w:t>
      </w:r>
      <w:r w:rsidR="00C81607">
        <w:t xml:space="preserve"> of this dwelling</w:t>
      </w:r>
      <w:r w:rsidR="00EE4515">
        <w:t xml:space="preserve">.  </w:t>
      </w:r>
    </w:p>
    <w:p w:rsidR="00E70FBD" w:rsidRDefault="00C81607" w:rsidP="00E70FBD">
      <w:pPr>
        <w:pStyle w:val="Para1"/>
      </w:pPr>
      <w:r>
        <w:t>I will discuss t</w:t>
      </w:r>
      <w:r w:rsidR="00CE698C">
        <w:t>he front fence requirements</w:t>
      </w:r>
      <w:r w:rsidR="00EE4515">
        <w:t xml:space="preserve"> </w:t>
      </w:r>
      <w:r w:rsidR="005A479C">
        <w:t xml:space="preserve">further </w:t>
      </w:r>
      <w:r>
        <w:t xml:space="preserve">as part of </w:t>
      </w:r>
      <w:r w:rsidR="00EE4515">
        <w:t>the neighbourhood character assessment below</w:t>
      </w:r>
      <w:r w:rsidR="00E70FBD">
        <w:t>.</w:t>
      </w:r>
    </w:p>
    <w:p w:rsidR="00E70FBD" w:rsidRDefault="00E70FBD" w:rsidP="00E70FBD">
      <w:pPr>
        <w:pStyle w:val="Heading3"/>
      </w:pPr>
      <w:r>
        <w:t>Planning Policy Framework</w:t>
      </w:r>
    </w:p>
    <w:p w:rsidR="00E70FBD" w:rsidRDefault="00E70FBD" w:rsidP="00E70FBD">
      <w:pPr>
        <w:pStyle w:val="Para1"/>
      </w:pPr>
      <w:r>
        <w:rPr>
          <w:lang w:eastAsia="en-AU"/>
        </w:rPr>
        <w:t xml:space="preserve">The Planning Policy Framework (PPF) </w:t>
      </w:r>
      <w:r>
        <w:t>at Clauses 11 and 16 promote</w:t>
      </w:r>
      <w:r w:rsidR="00D60B1F">
        <w:t>s</w:t>
      </w:r>
      <w:r>
        <w:t xml:space="preserve"> urban consolidation and encourage</w:t>
      </w:r>
      <w:r w:rsidR="005A479C">
        <w:t>s</w:t>
      </w:r>
      <w:r>
        <w:t xml:space="preserve"> housing diversity </w:t>
      </w:r>
      <w:r w:rsidRPr="000F51E6">
        <w:t>in locations that are well serviced with public transport and community facilities</w:t>
      </w:r>
      <w:r>
        <w:t>.</w:t>
      </w:r>
    </w:p>
    <w:p w:rsidR="00E70FBD" w:rsidRDefault="00E70FBD" w:rsidP="00E70FBD">
      <w:pPr>
        <w:pStyle w:val="Para1"/>
      </w:pPr>
      <w:r>
        <w:t xml:space="preserve">The applicant argues that given the site’s </w:t>
      </w:r>
      <w:r w:rsidR="00D60B1F">
        <w:t xml:space="preserve">strategic location near a railway station, its location on </w:t>
      </w:r>
      <w:r w:rsidR="005A479C">
        <w:t xml:space="preserve">a </w:t>
      </w:r>
      <w:r w:rsidR="00D60B1F">
        <w:t>main road</w:t>
      </w:r>
      <w:r>
        <w:t xml:space="preserve"> and its proximity to the Mount Waverley </w:t>
      </w:r>
      <w:r w:rsidR="00E92A1F">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Activity Centre, there is strong policy support for multi-dwellings on this site.</w:t>
      </w:r>
    </w:p>
    <w:p w:rsidR="00E70FBD" w:rsidRDefault="00E70FBD" w:rsidP="00E70FBD">
      <w:pPr>
        <w:pStyle w:val="Para1"/>
      </w:pPr>
      <w:r>
        <w:t xml:space="preserve">Council acknowledges the </w:t>
      </w:r>
      <w:r w:rsidR="00D60B1F">
        <w:t xml:space="preserve">proposal satisfies the objectives of the </w:t>
      </w:r>
      <w:r>
        <w:t xml:space="preserve">PPF </w:t>
      </w:r>
      <w:r w:rsidR="00D60B1F">
        <w:t xml:space="preserve">as it contributes to urban consolidation and </w:t>
      </w:r>
      <w:r>
        <w:t xml:space="preserve">housing diversity </w:t>
      </w:r>
      <w:r w:rsidR="00D60B1F">
        <w:t>in an area that is reasonably well located to services and facilities.</w:t>
      </w:r>
      <w:r>
        <w:t xml:space="preserve">  </w:t>
      </w:r>
      <w:r w:rsidR="00511A01">
        <w:t>It argues</w:t>
      </w:r>
      <w:r>
        <w:t xml:space="preserve"> </w:t>
      </w:r>
      <w:r w:rsidR="00D60B1F">
        <w:t>the proposal fails to provide a suitable design response to the preferred built form and landscape character of the neighbourhood.</w:t>
      </w:r>
    </w:p>
    <w:p w:rsidR="00E70FBD" w:rsidRDefault="00E70FBD" w:rsidP="00E70FBD">
      <w:pPr>
        <w:pStyle w:val="Heading3"/>
      </w:pPr>
      <w:r>
        <w:t>Local Planning Policy Framework</w:t>
      </w:r>
    </w:p>
    <w:p w:rsidR="00E70FBD" w:rsidRDefault="00E70FBD" w:rsidP="00E70FBD">
      <w:pPr>
        <w:pStyle w:val="Para1"/>
      </w:pPr>
      <w:r>
        <w:t xml:space="preserve">The </w:t>
      </w:r>
      <w:r w:rsidRPr="008141BF">
        <w:t xml:space="preserve">Local Planning Policy Framework (LPPF) </w:t>
      </w:r>
      <w:r>
        <w:t>reiterates</w:t>
      </w:r>
      <w:r w:rsidRPr="008141BF">
        <w:t xml:space="preserve"> the PPF</w:t>
      </w:r>
      <w:r>
        <w:t xml:space="preserve"> objectives</w:t>
      </w:r>
      <w:r w:rsidRPr="008141BF">
        <w:t xml:space="preserve"> relating to</w:t>
      </w:r>
      <w:r>
        <w:t xml:space="preserve"> </w:t>
      </w:r>
      <w:r w:rsidRPr="008141BF">
        <w:t xml:space="preserve">urban consolidation.  </w:t>
      </w:r>
      <w:r>
        <w:t>Clause 21.03 has a vision for Monash that acknowledges</w:t>
      </w:r>
      <w:r w:rsidRPr="008141BF">
        <w:t xml:space="preserve"> the municipality must cater for </w:t>
      </w:r>
      <w:r>
        <w:t>changing household sizes and structure whilst also complementing and enhancing the Garden City Character that is identified in Clause 21.02-2 of the Monash Planning Scheme.  This vision identifies setbacks of buildings, mass and scale of building envelopes, quality of materials, location of car parking and canopy tree planting as important contributors to achieve the Garden City character.</w:t>
      </w:r>
    </w:p>
    <w:p w:rsidR="00D60B1F" w:rsidRDefault="00E70FBD" w:rsidP="00E70FBD">
      <w:pPr>
        <w:pStyle w:val="Para1"/>
      </w:pPr>
      <w:r>
        <w:t xml:space="preserve">Clause 21.04 identifies the review site is within Type C Character </w:t>
      </w:r>
      <w:r w:rsidR="00621E15">
        <w:t xml:space="preserve">Area </w:t>
      </w:r>
      <w:r>
        <w:t xml:space="preserve">that is derived from the Post World War to 1965 development.  </w:t>
      </w:r>
      <w:r w:rsidR="00D60B1F">
        <w:t>Some of the contributory elements to this character include the variety of architectural styles, consistent building setbacks, well planted front gardens and low front fencing.</w:t>
      </w:r>
    </w:p>
    <w:p w:rsidR="00E70FBD" w:rsidRDefault="00D60B1F" w:rsidP="00E70FBD">
      <w:pPr>
        <w:pStyle w:val="Para1"/>
      </w:pPr>
      <w:r>
        <w:t>The</w:t>
      </w:r>
      <w:r w:rsidR="00E70FBD">
        <w:t xml:space="preserve"> objectives for housing at Clause 21.04-3 are to recognise the treed environment and have regard to a particular neighbourhood character and amenity.  It also has objectives to encourage a diversity of housing styles to cater for different family lifestyle preferences, including the needs of an ageing population.</w:t>
      </w:r>
    </w:p>
    <w:p w:rsidR="00E70FBD" w:rsidRDefault="00E70FBD" w:rsidP="00E70FBD">
      <w:pPr>
        <w:pStyle w:val="Para1"/>
      </w:pPr>
      <w:r>
        <w:t>The desired future character encourages new buildings to be secondary in visual significance to the landscape of the character type in the street.  However, this clause acknowledges that in neighbourhoods that currently have a large proportion of two storey houses, the architecture will gradually become more dominant but will be buffered from the street by a well planted front garden.</w:t>
      </w:r>
    </w:p>
    <w:p w:rsidR="00E70FBD" w:rsidRDefault="00E70FBD" w:rsidP="00E70FBD">
      <w:pPr>
        <w:pStyle w:val="Para1"/>
      </w:pPr>
      <w:r>
        <w:t>The Residential Development and Housing Policy at Clause 22.01 implement</w:t>
      </w:r>
      <w:r w:rsidR="00C81607">
        <w:t>s</w:t>
      </w:r>
      <w:r>
        <w:t xml:space="preserve"> the Municipal Strategic Statement and zone objectives and provide</w:t>
      </w:r>
      <w:r w:rsidR="00C81607">
        <w:t>s</w:t>
      </w:r>
      <w:r>
        <w:t xml:space="preserve"> the policy basis for the neighbourhood character areas.  It contains objectives to build on the contribution that landscaping makes to the Garden City Character and encourage design responses that contribute positively to the neighbourhood character.  I will discuss this policy further below.</w:t>
      </w:r>
    </w:p>
    <w:p w:rsidR="00E70FBD" w:rsidRDefault="00E70FBD" w:rsidP="00E70FBD">
      <w:pPr>
        <w:pStyle w:val="Heading3"/>
      </w:pPr>
      <w:r>
        <w:t xml:space="preserve">Policy </w:t>
      </w:r>
      <w:r w:rsidR="009F447E">
        <w:t>Findings</w:t>
      </w:r>
    </w:p>
    <w:p w:rsidR="00E70FBD" w:rsidRDefault="00E70FBD" w:rsidP="00E70FBD">
      <w:pPr>
        <w:pStyle w:val="Para1"/>
      </w:pPr>
      <w:r>
        <w:t xml:space="preserve">The purposes of the GRZ2, PPF and LPPF are to encourage a diversity of housing types and growth </w:t>
      </w:r>
      <w:r w:rsidR="00C63A93">
        <w:t>at</w:t>
      </w:r>
      <w:r>
        <w:t xml:space="preserve"> accessible locations.  Th</w:t>
      </w:r>
      <w:r w:rsidR="00C81607">
        <w:t>e</w:t>
      </w:r>
      <w:r>
        <w:t xml:space="preserve"> site is located </w:t>
      </w:r>
      <w:r w:rsidR="00D7672F">
        <w:t xml:space="preserve">approximately </w:t>
      </w:r>
      <w:r w:rsidR="00D24C86">
        <w:t>300 metres</w:t>
      </w:r>
      <w:r>
        <w:t xml:space="preserve"> </w:t>
      </w:r>
      <w:r w:rsidR="00C81607">
        <w:t>from</w:t>
      </w:r>
      <w:r w:rsidR="00D24C86">
        <w:t xml:space="preserve"> Jordanville</w:t>
      </w:r>
      <w:r>
        <w:t xml:space="preserve"> railway station</w:t>
      </w:r>
      <w:r w:rsidR="00D24C86">
        <w:t xml:space="preserve"> and bus services </w:t>
      </w:r>
      <w:r w:rsidR="00E92A1F">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4C86">
        <w:t>operate along Huntingdale Road</w:t>
      </w:r>
      <w:r>
        <w:t xml:space="preserve">. It is also located </w:t>
      </w:r>
      <w:r w:rsidR="00D24C86">
        <w:t xml:space="preserve">1.5 kilometres </w:t>
      </w:r>
      <w:r w:rsidR="00C81607">
        <w:t>from</w:t>
      </w:r>
      <w:r w:rsidR="00D24C86">
        <w:t xml:space="preserve"> Mount Waverley </w:t>
      </w:r>
      <w:r w:rsidR="0092119A">
        <w:t xml:space="preserve">neighbourhood </w:t>
      </w:r>
      <w:r w:rsidR="009F447E">
        <w:t xml:space="preserve">activity </w:t>
      </w:r>
      <w:r w:rsidR="0092119A">
        <w:t xml:space="preserve">centre.  </w:t>
      </w:r>
    </w:p>
    <w:p w:rsidR="00C63A93" w:rsidRDefault="0092119A" w:rsidP="00E70FBD">
      <w:pPr>
        <w:pStyle w:val="Para1"/>
      </w:pPr>
      <w:r>
        <w:t xml:space="preserve">There was no </w:t>
      </w:r>
      <w:r w:rsidR="00C63A93">
        <w:t>dispute</w:t>
      </w:r>
      <w:r>
        <w:t xml:space="preserve"> between the parties that there is policy support for </w:t>
      </w:r>
      <w:r w:rsidR="00E70FBD">
        <w:t>medium density development at this location</w:t>
      </w:r>
      <w:r w:rsidR="001C6DD1">
        <w:t xml:space="preserve">.  I </w:t>
      </w:r>
      <w:r w:rsidR="00C63A93">
        <w:t xml:space="preserve">also agree this site is suitable for medium density development given its proximity to the train station and other services.  I </w:t>
      </w:r>
      <w:r w:rsidR="00C81607">
        <w:t>find</w:t>
      </w:r>
      <w:r w:rsidR="00C63A93">
        <w:t xml:space="preserve"> the</w:t>
      </w:r>
      <w:r w:rsidR="001C6DD1">
        <w:t xml:space="preserve"> development will diversify housing in </w:t>
      </w:r>
      <w:r w:rsidR="00C63A93">
        <w:t>an</w:t>
      </w:r>
      <w:r w:rsidR="001C6DD1">
        <w:t xml:space="preserve"> area that is currently undergoing regeneration</w:t>
      </w:r>
      <w:r w:rsidR="00E70FBD">
        <w:t xml:space="preserve">.  </w:t>
      </w:r>
    </w:p>
    <w:p w:rsidR="00C63A93" w:rsidRDefault="001C6DD1" w:rsidP="00E70FBD">
      <w:pPr>
        <w:pStyle w:val="Para1"/>
      </w:pPr>
      <w:r>
        <w:t>The policy</w:t>
      </w:r>
      <w:r w:rsidR="00E70FBD">
        <w:t xml:space="preserve"> expectation</w:t>
      </w:r>
      <w:r>
        <w:t xml:space="preserve"> is</w:t>
      </w:r>
      <w:r w:rsidR="00E70FBD">
        <w:t xml:space="preserve"> that development must respond to its context </w:t>
      </w:r>
      <w:r>
        <w:t xml:space="preserve">and desired future character </w:t>
      </w:r>
      <w:r w:rsidR="00E70FBD">
        <w:t xml:space="preserve">whilst also having proper regard for the amenity and functionality of development and future residents. </w:t>
      </w:r>
      <w:r w:rsidR="00C63A93">
        <w:t xml:space="preserve"> </w:t>
      </w:r>
      <w:r w:rsidR="00E70FBD">
        <w:t xml:space="preserve">The main issue is whether the proposal </w:t>
      </w:r>
      <w:r w:rsidR="00604733">
        <w:t>i</w:t>
      </w:r>
      <w:r>
        <w:t xml:space="preserve">s a suitable design response </w:t>
      </w:r>
      <w:r w:rsidR="00E70FBD">
        <w:t xml:space="preserve">to the </w:t>
      </w:r>
      <w:r w:rsidR="00604733">
        <w:t xml:space="preserve">desired </w:t>
      </w:r>
      <w:r>
        <w:t>built form and landscape character of this neighbourhood</w:t>
      </w:r>
      <w:r w:rsidR="00C63A93">
        <w:t>, as expressed in the neighbourhood character statements in the LPPF</w:t>
      </w:r>
      <w:r>
        <w:t xml:space="preserve">.  </w:t>
      </w:r>
    </w:p>
    <w:p w:rsidR="00604733" w:rsidRDefault="00E70FBD" w:rsidP="004D4008">
      <w:pPr>
        <w:pStyle w:val="Para1"/>
      </w:pPr>
      <w:r>
        <w:t xml:space="preserve">I find the </w:t>
      </w:r>
      <w:r w:rsidR="00604733">
        <w:t xml:space="preserve">development of three dwellings responds, in part, to emerging character of this area.  However, amendments </w:t>
      </w:r>
      <w:r w:rsidR="00C81607">
        <w:t xml:space="preserve">to the layout and design of the dwellings </w:t>
      </w:r>
      <w:r w:rsidR="00604733">
        <w:t xml:space="preserve">are required to </w:t>
      </w:r>
      <w:r w:rsidR="00C63A93">
        <w:t>respect</w:t>
      </w:r>
      <w:r w:rsidR="00604733">
        <w:t xml:space="preserve"> the preferred neighbourhood character.  This includes re-orientation of Dwelling 1 to face Huntingdale Road</w:t>
      </w:r>
      <w:r w:rsidR="00AE6B5A">
        <w:t xml:space="preserve"> </w:t>
      </w:r>
      <w:r w:rsidR="00C81607">
        <w:t xml:space="preserve">and </w:t>
      </w:r>
      <w:r w:rsidR="00604733">
        <w:t>alteration of the location of front fencing</w:t>
      </w:r>
      <w:r w:rsidR="00AE6B5A">
        <w:t>.</w:t>
      </w:r>
      <w:r w:rsidR="00604733">
        <w:t xml:space="preserve">  </w:t>
      </w:r>
      <w:r w:rsidR="00632027">
        <w:t xml:space="preserve">I will discuss </w:t>
      </w:r>
      <w:r w:rsidR="00A12217">
        <w:t>these</w:t>
      </w:r>
      <w:r w:rsidR="00632027">
        <w:t xml:space="preserve"> neighbourhood character findings further below</w:t>
      </w:r>
      <w:r w:rsidR="00604733">
        <w:t xml:space="preserve">. </w:t>
      </w:r>
    </w:p>
    <w:p w:rsidR="00076E22" w:rsidRDefault="00076E22" w:rsidP="00076E22">
      <w:pPr>
        <w:pStyle w:val="Heading2"/>
        <w:rPr>
          <w:lang w:eastAsia="en-AU"/>
        </w:rPr>
      </w:pPr>
      <w:r>
        <w:rPr>
          <w:lang w:eastAsia="en-AU"/>
        </w:rPr>
        <w:t>Amendment C125</w:t>
      </w:r>
    </w:p>
    <w:p w:rsidR="00076E22" w:rsidRDefault="00C82DC6" w:rsidP="00076E22">
      <w:pPr>
        <w:pStyle w:val="Para1"/>
      </w:pPr>
      <w:r>
        <w:t xml:space="preserve">Council refused this application on the ground the proposed development is </w:t>
      </w:r>
      <w:r w:rsidR="00AE6B5A">
        <w:t>in</w:t>
      </w:r>
      <w:r>
        <w:t xml:space="preserve">consistent with the Monash Housing Strategy </w:t>
      </w:r>
      <w:r w:rsidR="00AE6B5A">
        <w:t>and</w:t>
      </w:r>
      <w:r>
        <w:t xml:space="preserve"> the objectives of the future zoning of the land under the Amendment C125.  </w:t>
      </w:r>
    </w:p>
    <w:p w:rsidR="00C82DC6" w:rsidRDefault="00C82DC6" w:rsidP="00E70FBD">
      <w:pPr>
        <w:pStyle w:val="Para1"/>
      </w:pPr>
      <w:r>
        <w:t>The Monash Housing Strategy was adopted by Council in 2014.  It contains a revised Residential Development Framework Map</w:t>
      </w:r>
      <w:r w:rsidR="00565864">
        <w:t xml:space="preserve"> that</w:t>
      </w:r>
      <w:r>
        <w:t xml:space="preserve"> indicates the review site is within a Category 2: Accessible Area</w:t>
      </w:r>
      <w:r w:rsidR="00C35AE0">
        <w:t>s</w:t>
      </w:r>
      <w:r>
        <w:t>.  Th</w:t>
      </w:r>
      <w:r w:rsidR="00C35AE0">
        <w:t xml:space="preserve">ese areas are designed to accommodate moderate housing change and diversification serving as a transition between commercial and residential areas whilst also respecting neighbourhood character and amenity. </w:t>
      </w:r>
      <w:r>
        <w:t xml:space="preserve"> </w:t>
      </w:r>
      <w:r w:rsidR="00C35AE0">
        <w:t>The residential outcomes include lower density unit and townhouse style development, at the interface wit</w:t>
      </w:r>
      <w:r w:rsidR="00565864">
        <w:t>h</w:t>
      </w:r>
      <w:r w:rsidR="00C35AE0">
        <w:t xml:space="preserve"> surrounding residential areas.  </w:t>
      </w:r>
    </w:p>
    <w:p w:rsidR="00E70FBD" w:rsidRDefault="00E70FBD" w:rsidP="00E70FBD">
      <w:pPr>
        <w:pStyle w:val="Para1"/>
      </w:pPr>
      <w:r>
        <w:t xml:space="preserve">Amendment C125 (Part 1) was gazetted on 19 May 2018.  This included the deletion of Clauses 21.02 and 21.03 of the Municipal Strategic Statement (MSS) as the policies were consolidated into Clause 21.01.  It also reiterated the existing policy directions and provided greater emphasis on the need to provide enough space for the planting of canopy trees.  </w:t>
      </w:r>
    </w:p>
    <w:p w:rsidR="0084506E" w:rsidRDefault="00E70FBD" w:rsidP="00E70FBD">
      <w:pPr>
        <w:pStyle w:val="Para1"/>
      </w:pPr>
      <w:r>
        <w:t xml:space="preserve">The exhibited Amendment C125 (Part 2) </w:t>
      </w:r>
      <w:r w:rsidR="0084506E">
        <w:t>identifies the review s</w:t>
      </w:r>
      <w:r>
        <w:t xml:space="preserve">ite and surrounding land </w:t>
      </w:r>
      <w:r w:rsidR="007A4F90">
        <w:t xml:space="preserve">is </w:t>
      </w:r>
      <w:r>
        <w:t>to be zoned GRZ3</w:t>
      </w:r>
      <w:r w:rsidR="0084506E">
        <w:t xml:space="preserve">.  It also </w:t>
      </w:r>
      <w:r w:rsidR="00565864">
        <w:t xml:space="preserve">revises Clause 21.04 </w:t>
      </w:r>
      <w:r w:rsidR="0084506E">
        <w:t xml:space="preserve">to include the Residential Development Framework Plan which shows the review site </w:t>
      </w:r>
      <w:r w:rsidR="00565864">
        <w:t xml:space="preserve">is within an ‘Accessible Area’.  </w:t>
      </w:r>
      <w:r w:rsidR="00D108EF">
        <w:t xml:space="preserve">This clause also identifies the site is within Residential Character type ‘Garden City Suburbs Northern Area’. </w:t>
      </w:r>
    </w:p>
    <w:p w:rsidR="00E03A66" w:rsidRDefault="00E92A1F" w:rsidP="00E70FBD">
      <w:pPr>
        <w:pStyle w:val="Para1"/>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70FBD">
        <w:t>Th</w:t>
      </w:r>
      <w:r w:rsidR="00565864">
        <w:t>e</w:t>
      </w:r>
      <w:r w:rsidR="00E70FBD">
        <w:t xml:space="preserve"> </w:t>
      </w:r>
      <w:r w:rsidR="0084506E">
        <w:t xml:space="preserve">proposed GRZ3 </w:t>
      </w:r>
      <w:r w:rsidR="00E70FBD">
        <w:t xml:space="preserve">zone maintains a frontage setback requirement of 7.6 metres, site coverage of 50%, </w:t>
      </w:r>
      <w:r w:rsidR="00D108EF">
        <w:t xml:space="preserve">maximum front fence height of 1.2 metres, </w:t>
      </w:r>
      <w:r w:rsidR="00E70FBD">
        <w:t>permeability of 30%, rear setback of 5 metres and requires a minimum of 35 square metres private open space to be clear of water tanks and outdoor storage sheds.</w:t>
      </w:r>
      <w:r w:rsidR="00E03A66">
        <w:t xml:space="preserve">  </w:t>
      </w:r>
      <w:r w:rsidR="0084506E">
        <w:t xml:space="preserve">It also includes </w:t>
      </w:r>
      <w:r w:rsidR="00E03A66">
        <w:t>building heights and the following neighbourhood character objectives:</w:t>
      </w:r>
    </w:p>
    <w:p w:rsidR="00E03A66" w:rsidRDefault="00E03A66" w:rsidP="00E03A66">
      <w:pPr>
        <w:pStyle w:val="Quote3"/>
      </w:pPr>
      <w:r>
        <w:t>To ensure development is consistent with the desired future character statement for the area set out in Clause 22.01-4.</w:t>
      </w:r>
    </w:p>
    <w:p w:rsidR="00E03A66" w:rsidRDefault="00E03A66" w:rsidP="00E03A66">
      <w:pPr>
        <w:pStyle w:val="Quote3"/>
      </w:pPr>
      <w:r>
        <w:t>To ensure that development enhances the existing garden city character.</w:t>
      </w:r>
    </w:p>
    <w:p w:rsidR="00E70FBD" w:rsidRDefault="00E03A66" w:rsidP="00E03A66">
      <w:pPr>
        <w:pStyle w:val="Quote3"/>
      </w:pPr>
      <w:r>
        <w:t xml:space="preserve">To ensure development has generous and consistent setbacks and respects the height, scale and massing of existing dwellings in the neighbourhood. </w:t>
      </w:r>
    </w:p>
    <w:p w:rsidR="00E70FBD" w:rsidRDefault="00E70FBD" w:rsidP="00E70FBD">
      <w:pPr>
        <w:pStyle w:val="Para1"/>
      </w:pPr>
      <w:r>
        <w:t xml:space="preserve">The </w:t>
      </w:r>
      <w:r w:rsidR="0084506E">
        <w:t xml:space="preserve">proposed development </w:t>
      </w:r>
      <w:r w:rsidR="00A12217">
        <w:t xml:space="preserve">generally </w:t>
      </w:r>
      <w:r>
        <w:t>meet</w:t>
      </w:r>
      <w:r w:rsidR="0084506E">
        <w:t>s</w:t>
      </w:r>
      <w:r>
        <w:t xml:space="preserve"> the above requirements</w:t>
      </w:r>
      <w:r w:rsidR="0084506E">
        <w:t xml:space="preserve"> of Schedule 3</w:t>
      </w:r>
      <w:r>
        <w:t xml:space="preserve"> including the rear setback, site coverage and open space provision</w:t>
      </w:r>
      <w:r w:rsidR="00D108EF">
        <w:t xml:space="preserve"> but fails to meet the front fence requirement</w:t>
      </w:r>
      <w:r>
        <w:t>.  The decision guidelines acknowledge that variations to standards will be considered where a proposal demonstrates it contributes to the ‘</w:t>
      </w:r>
      <w:r w:rsidR="007A4F90">
        <w:t>G</w:t>
      </w:r>
      <w:r>
        <w:t xml:space="preserve">arden </w:t>
      </w:r>
      <w:r w:rsidR="007A4F90">
        <w:t>C</w:t>
      </w:r>
      <w:r>
        <w:t>ity’ character.</w:t>
      </w:r>
    </w:p>
    <w:p w:rsidR="005D2309" w:rsidRDefault="00E70FBD" w:rsidP="00E70FBD">
      <w:pPr>
        <w:pStyle w:val="Para1"/>
      </w:pPr>
      <w:r>
        <w:t xml:space="preserve">The issue is what weight I give this planning scheme amendment.  </w:t>
      </w:r>
      <w:r w:rsidR="005D2309">
        <w:t xml:space="preserve">The applicant argues that greatest weight should be given to the planning scheme as it is at the time of its decision.  She tabled a number of other Tribunal decisions that </w:t>
      </w:r>
      <w:r w:rsidR="00D003B1">
        <w:t xml:space="preserve">raise concerns </w:t>
      </w:r>
      <w:r w:rsidR="009D4C31">
        <w:t>about</w:t>
      </w:r>
      <w:r w:rsidR="00D003B1">
        <w:t xml:space="preserve"> the uncertainty of gazettal o</w:t>
      </w:r>
      <w:r w:rsidR="00A12217">
        <w:t>f</w:t>
      </w:r>
      <w:r w:rsidR="00D003B1">
        <w:t xml:space="preserve"> Amendment C125 (Part 2) in its current form</w:t>
      </w:r>
      <w:r w:rsidR="009D4C31">
        <w:rPr>
          <w:rStyle w:val="FootnoteReference"/>
        </w:rPr>
        <w:footnoteReference w:id="3"/>
      </w:r>
      <w:r w:rsidR="00D003B1">
        <w:t>.</w:t>
      </w:r>
      <w:r w:rsidR="00565864">
        <w:t xml:space="preserve"> </w:t>
      </w:r>
    </w:p>
    <w:p w:rsidR="00A12217" w:rsidRDefault="00A12217" w:rsidP="00A12217">
      <w:pPr>
        <w:pStyle w:val="Para1"/>
      </w:pPr>
      <w:r>
        <w:t>Given the amendment has been submitted to the Minister for approval, I will give it some weight in my decision</w:t>
      </w:r>
      <w:r w:rsidR="00C75E7E">
        <w:t xml:space="preserve">.  This amendment </w:t>
      </w:r>
      <w:r>
        <w:t>emphas</w:t>
      </w:r>
      <w:r w:rsidR="007A4F90">
        <w:t>i</w:t>
      </w:r>
      <w:r>
        <w:t>s</w:t>
      </w:r>
      <w:r w:rsidR="007A4F90">
        <w:t>es</w:t>
      </w:r>
      <w:r>
        <w:t xml:space="preserve"> the importance of </w:t>
      </w:r>
      <w:r w:rsidR="007239EF">
        <w:t xml:space="preserve">the maintaining the </w:t>
      </w:r>
      <w:r>
        <w:t xml:space="preserve">preferred neighbourhood character and </w:t>
      </w:r>
      <w:r w:rsidR="007239EF">
        <w:t xml:space="preserve">includes </w:t>
      </w:r>
      <w:r>
        <w:t xml:space="preserve">neighbourhood character objectives </w:t>
      </w:r>
      <w:r w:rsidR="007239EF">
        <w:t>in</w:t>
      </w:r>
      <w:r>
        <w:t xml:space="preserve"> the new zone.</w:t>
      </w:r>
    </w:p>
    <w:p w:rsidR="0084506E" w:rsidRDefault="0084506E" w:rsidP="0084506E">
      <w:pPr>
        <w:pStyle w:val="Heading2"/>
        <w:rPr>
          <w:lang w:eastAsia="en-AU"/>
        </w:rPr>
      </w:pPr>
      <w:r>
        <w:rPr>
          <w:lang w:eastAsia="en-AU"/>
        </w:rPr>
        <w:t>neighbourhood character</w:t>
      </w:r>
    </w:p>
    <w:p w:rsidR="0084506E" w:rsidRDefault="0084506E" w:rsidP="0084506E">
      <w:pPr>
        <w:pStyle w:val="Heading3"/>
      </w:pPr>
      <w:r>
        <w:t>Preferred Neighbourhood Character</w:t>
      </w:r>
    </w:p>
    <w:p w:rsidR="0084506E" w:rsidRDefault="0084506E" w:rsidP="0084506E">
      <w:pPr>
        <w:pStyle w:val="Para1"/>
      </w:pPr>
      <w:r>
        <w:t xml:space="preserve">Clause 22.01-4 identifies contributory elements of Residential Character Type C area include the undulating topography, variety of architectural styles including two storey houses, consistent building setbacks, well planted front gardens, street trees of varying spacing and low fences.  </w:t>
      </w:r>
    </w:p>
    <w:p w:rsidR="0084506E" w:rsidRDefault="0084506E" w:rsidP="0084506E">
      <w:pPr>
        <w:pStyle w:val="Para1"/>
      </w:pPr>
      <w:r>
        <w:t>Clause 22.01-4 describes the desired future character as:</w:t>
      </w:r>
    </w:p>
    <w:p w:rsidR="0084506E" w:rsidRDefault="0084506E" w:rsidP="0084506E">
      <w:pPr>
        <w:pStyle w:val="Quote1"/>
      </w:pPr>
      <w:r>
        <w:t xml:space="preserve">The neighbourhood character of this area will develop within a pleasant leafy framework of well-planted front gardens and large canopy trees. Architecture, including new buildings and extensions, will, in the majority of cases, be secondary in visual significance to the landscape of the Character Type from the street. However, in neighbourhoods that currently have a large proportion of two storey </w:t>
      </w:r>
      <w:r w:rsidR="00E92A1F">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houses, the architecture will gradually become more dominant, although it will always be buffered from the street by a well planted front garden that will ensure the soft leafy nature of the street will be perpetuated. </w:t>
      </w:r>
    </w:p>
    <w:p w:rsidR="0084506E" w:rsidRDefault="0084506E" w:rsidP="0084506E">
      <w:pPr>
        <w:pStyle w:val="Quote1"/>
      </w:pPr>
      <w:r>
        <w:t xml:space="preserve">Setbacks will be generous and consistent within individual streets. Building heights will vary between neighbourhoods. Those neighbourhoods where the diverse topography and well developed mature tree canopy provide a framework within which redevelopment can occur will have a larger proportion of two storey houses. In the lower, less wooded areas, buildings will be mainly low rise unless existing vegetation or a gradation in height softens the scale contrasts between buildings. </w:t>
      </w:r>
    </w:p>
    <w:p w:rsidR="0084506E" w:rsidRDefault="0084506E" w:rsidP="0084506E">
      <w:pPr>
        <w:pStyle w:val="Quote1"/>
      </w:pPr>
      <w:r>
        <w:t>The built-form will be visually unified by well-planted front gardens that contain large trees and shrubs and street tree planting. Neighbourhoods that are influenced by the naturalistic landscape of the creek valleys or on highpoints and ridges will have a predominance of native trees in both the public and private realm. Trees within lots to be redeveloped will be retained wherever possible in order to maintain the established leafy character.</w:t>
      </w:r>
      <w:r>
        <w:rPr>
          <w:rStyle w:val="FootnoteReference"/>
        </w:rPr>
        <w:t xml:space="preserve"> </w:t>
      </w:r>
      <w:r>
        <w:rPr>
          <w:rStyle w:val="FootnoteReference"/>
        </w:rPr>
        <w:footnoteReference w:id="4"/>
      </w:r>
    </w:p>
    <w:p w:rsidR="0084506E" w:rsidRDefault="007A4F90" w:rsidP="0084506E">
      <w:pPr>
        <w:pStyle w:val="Heading3"/>
        <w:rPr>
          <w:lang w:eastAsia="en-AU"/>
        </w:rPr>
      </w:pPr>
      <w:r>
        <w:rPr>
          <w:lang w:eastAsia="en-AU"/>
        </w:rPr>
        <w:t>P</w:t>
      </w:r>
      <w:r w:rsidR="0084506E">
        <w:rPr>
          <w:lang w:eastAsia="en-AU"/>
        </w:rPr>
        <w:t xml:space="preserve">hysical </w:t>
      </w:r>
      <w:r w:rsidR="000B46E3">
        <w:rPr>
          <w:lang w:eastAsia="en-AU"/>
        </w:rPr>
        <w:t>C</w:t>
      </w:r>
      <w:r w:rsidR="0084506E">
        <w:rPr>
          <w:lang w:eastAsia="en-AU"/>
        </w:rPr>
        <w:t xml:space="preserve">ontext </w:t>
      </w:r>
    </w:p>
    <w:p w:rsidR="0084506E" w:rsidRDefault="0084506E" w:rsidP="0084506E">
      <w:pPr>
        <w:pStyle w:val="Para1"/>
        <w:rPr>
          <w:lang w:eastAsia="en-AU"/>
        </w:rPr>
      </w:pPr>
      <w:r>
        <w:t xml:space="preserve">The context of this neighbourhood includes a mixture of single and two storey dwellings and intermittent multi-dwelling development.  The original housing stock in the area is </w:t>
      </w:r>
      <w:r w:rsidR="00AE6B5A">
        <w:t xml:space="preserve">generally </w:t>
      </w:r>
      <w:r>
        <w:t>single storey detached brick dwellings</w:t>
      </w:r>
      <w:r w:rsidR="00803C19" w:rsidRPr="00803C19">
        <w:t xml:space="preserve"> </w:t>
      </w:r>
      <w:r w:rsidR="00803C19">
        <w:t xml:space="preserve">with visible front gardens. Fencing along Huntingdale Road is predominately low but there are examples of higher fencing </w:t>
      </w:r>
      <w:r w:rsidR="00AE6B5A">
        <w:t xml:space="preserve">such as </w:t>
      </w:r>
      <w:r w:rsidR="00803C19">
        <w:t>at 307 and 308 Huntingdale Road</w:t>
      </w:r>
      <w:r>
        <w:t>.</w:t>
      </w:r>
    </w:p>
    <w:p w:rsidR="00803C19" w:rsidRDefault="0084506E" w:rsidP="0084506E">
      <w:pPr>
        <w:pStyle w:val="Para1"/>
        <w:rPr>
          <w:lang w:eastAsia="en-AU"/>
        </w:rPr>
      </w:pPr>
      <w:r>
        <w:t>The</w:t>
      </w:r>
      <w:r w:rsidR="00803C19">
        <w:t>re is some</w:t>
      </w:r>
      <w:r>
        <w:t xml:space="preserve"> multi-dwelling development</w:t>
      </w:r>
      <w:r w:rsidR="00803C19">
        <w:t xml:space="preserve"> nearby </w:t>
      </w:r>
      <w:r>
        <w:t xml:space="preserve">including </w:t>
      </w:r>
      <w:r w:rsidR="00AE6B5A">
        <w:t xml:space="preserve">a </w:t>
      </w:r>
      <w:r w:rsidR="00803C19">
        <w:t xml:space="preserve">three storey </w:t>
      </w:r>
      <w:r w:rsidR="00B70487">
        <w:t xml:space="preserve">apartment building </w:t>
      </w:r>
      <w:r w:rsidR="00AE6B5A">
        <w:t xml:space="preserve">at 303-305 Huntingdale Road that </w:t>
      </w:r>
      <w:r w:rsidR="000B46E3">
        <w:t>contains</w:t>
      </w:r>
      <w:r w:rsidR="00B70487">
        <w:t xml:space="preserve"> 26 </w:t>
      </w:r>
      <w:r w:rsidR="00803C19">
        <w:t xml:space="preserve">dwellings.  Council advised that this </w:t>
      </w:r>
      <w:r w:rsidR="00B70487">
        <w:t xml:space="preserve">development </w:t>
      </w:r>
      <w:r w:rsidR="00803C19">
        <w:t>was approved by the Tribunal in 2012</w:t>
      </w:r>
      <w:r w:rsidR="00803C19">
        <w:rPr>
          <w:rStyle w:val="FootnoteReference"/>
        </w:rPr>
        <w:footnoteReference w:id="5"/>
      </w:r>
      <w:r w:rsidR="00803C19">
        <w:t>.</w:t>
      </w:r>
      <w:r w:rsidR="00DE0EF4">
        <w:t xml:space="preserve">  Other multi-dwelling housing </w:t>
      </w:r>
      <w:r w:rsidR="00AE6B5A">
        <w:t>in the wider area are</w:t>
      </w:r>
      <w:r w:rsidR="00DE0EF4">
        <w:t xml:space="preserve"> located at 24 Imperial Avenue (two dwellings) and 26 Imperial Avenue (three dwellings).</w:t>
      </w:r>
    </w:p>
    <w:p w:rsidR="0084506E" w:rsidRDefault="00B70487" w:rsidP="0084506E">
      <w:pPr>
        <w:pStyle w:val="Para1"/>
        <w:rPr>
          <w:lang w:eastAsia="en-AU"/>
        </w:rPr>
      </w:pPr>
      <w:r>
        <w:rPr>
          <w:lang w:eastAsia="en-AU"/>
        </w:rPr>
        <w:t xml:space="preserve">Due to the age of housing stock, this </w:t>
      </w:r>
      <w:r w:rsidR="0084506E">
        <w:rPr>
          <w:lang w:eastAsia="en-AU"/>
        </w:rPr>
        <w:t xml:space="preserve">area is experiencing </w:t>
      </w:r>
      <w:r>
        <w:rPr>
          <w:lang w:eastAsia="en-AU"/>
        </w:rPr>
        <w:t>i</w:t>
      </w:r>
      <w:r w:rsidR="0084506E">
        <w:rPr>
          <w:lang w:eastAsia="en-AU"/>
        </w:rPr>
        <w:t xml:space="preserve">ncremental change as there are </w:t>
      </w:r>
      <w:r w:rsidR="00AE6B5A">
        <w:rPr>
          <w:lang w:eastAsia="en-AU"/>
        </w:rPr>
        <w:t xml:space="preserve">also </w:t>
      </w:r>
      <w:r w:rsidR="0084506E">
        <w:rPr>
          <w:lang w:eastAsia="en-AU"/>
        </w:rPr>
        <w:t xml:space="preserve">examples of replacement larger infill dwellings in </w:t>
      </w:r>
      <w:r>
        <w:rPr>
          <w:lang w:eastAsia="en-AU"/>
        </w:rPr>
        <w:t>the surrounding residential streets.</w:t>
      </w:r>
    </w:p>
    <w:p w:rsidR="0084506E" w:rsidRDefault="0084506E" w:rsidP="0084506E">
      <w:pPr>
        <w:pStyle w:val="Para1"/>
        <w:rPr>
          <w:lang w:eastAsia="en-AU"/>
        </w:rPr>
      </w:pPr>
      <w:r>
        <w:rPr>
          <w:lang w:eastAsia="en-AU"/>
        </w:rPr>
        <w:t>Gardens in this area include a mixture of mature exotic trees and shrubs in front and rear gardens.  The street trees contribute to the garden character of the neighbourhood</w:t>
      </w:r>
      <w:r w:rsidR="00AE6B5A">
        <w:rPr>
          <w:lang w:eastAsia="en-AU"/>
        </w:rPr>
        <w:t xml:space="preserve"> and </w:t>
      </w:r>
      <w:r>
        <w:rPr>
          <w:lang w:eastAsia="en-AU"/>
        </w:rPr>
        <w:t xml:space="preserve">include </w:t>
      </w:r>
      <w:r w:rsidR="001E6698">
        <w:rPr>
          <w:lang w:eastAsia="en-AU"/>
        </w:rPr>
        <w:t xml:space="preserve">Lemon Scented Gums </w:t>
      </w:r>
      <w:r>
        <w:rPr>
          <w:lang w:eastAsia="en-AU"/>
        </w:rPr>
        <w:t>(approximately 10 metres high)</w:t>
      </w:r>
      <w:r w:rsidR="001E6698">
        <w:rPr>
          <w:lang w:eastAsia="en-AU"/>
        </w:rPr>
        <w:t xml:space="preserve"> </w:t>
      </w:r>
      <w:r w:rsidR="00AE6B5A">
        <w:rPr>
          <w:lang w:eastAsia="en-AU"/>
        </w:rPr>
        <w:t>along</w:t>
      </w:r>
      <w:r w:rsidR="001E6698">
        <w:rPr>
          <w:lang w:eastAsia="en-AU"/>
        </w:rPr>
        <w:t xml:space="preserve"> Huntingdale Road</w:t>
      </w:r>
      <w:r>
        <w:rPr>
          <w:lang w:eastAsia="en-AU"/>
        </w:rPr>
        <w:t xml:space="preserve">.   </w:t>
      </w:r>
    </w:p>
    <w:p w:rsidR="0084506E" w:rsidRDefault="00E92A1F" w:rsidP="0084506E">
      <w:pPr>
        <w:pStyle w:val="Heading3"/>
        <w:rPr>
          <w:lang w:eastAsia="en-AU"/>
        </w:rPr>
      </w:pPr>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E6698">
        <w:rPr>
          <w:lang w:eastAsia="en-AU"/>
        </w:rPr>
        <w:t xml:space="preserve">Building Height, Scale and Design </w:t>
      </w:r>
    </w:p>
    <w:p w:rsidR="00534390" w:rsidRDefault="00534390" w:rsidP="00E200CF">
      <w:pPr>
        <w:pStyle w:val="Para1"/>
      </w:pPr>
      <w:r>
        <w:t xml:space="preserve">Clause 22.01-3 </w:t>
      </w:r>
      <w:r w:rsidR="00AB39C1">
        <w:t xml:space="preserve">states that it is </w:t>
      </w:r>
      <w:r>
        <w:t xml:space="preserve">policy to minimise the impact of the bulk and scale of development, where possible.  The policy </w:t>
      </w:r>
      <w:r w:rsidR="00AB39C1">
        <w:t>contains</w:t>
      </w:r>
      <w:r w:rsidR="00E45071">
        <w:t xml:space="preserve"> a number of</w:t>
      </w:r>
      <w:r>
        <w:t xml:space="preserve"> recommend</w:t>
      </w:r>
      <w:r w:rsidR="00E45071">
        <w:t>ations including</w:t>
      </w:r>
      <w:r>
        <w:t xml:space="preserve"> providing articulated and graduated elevations to avoid ‘box-like’ designs.</w:t>
      </w:r>
    </w:p>
    <w:p w:rsidR="00AE6441" w:rsidRDefault="00534390" w:rsidP="00E200CF">
      <w:pPr>
        <w:pStyle w:val="Para1"/>
      </w:pPr>
      <w:r>
        <w:t xml:space="preserve">Council argues the development fails to provide a suitable </w:t>
      </w:r>
      <w:r w:rsidR="00AE6441">
        <w:t xml:space="preserve">design response and will be overly prominent when viewed from Imperial Avenue.  This is due to the minimal frontage setbacks, attached continuous built form </w:t>
      </w:r>
      <w:r w:rsidR="00AB39C1">
        <w:t>that extends</w:t>
      </w:r>
      <w:r w:rsidR="00AE6441">
        <w:t xml:space="preserve"> </w:t>
      </w:r>
      <w:r w:rsidR="0074603C">
        <w:t xml:space="preserve">for </w:t>
      </w:r>
      <w:r w:rsidR="00AE6441">
        <w:t xml:space="preserve">over 30 metres and </w:t>
      </w:r>
      <w:r w:rsidR="00AB39C1">
        <w:t xml:space="preserve">the </w:t>
      </w:r>
      <w:r w:rsidR="00AE6441">
        <w:t>limited recession of the upper floors</w:t>
      </w:r>
      <w:r w:rsidR="0074603C">
        <w:t>,</w:t>
      </w:r>
      <w:r w:rsidR="00AE6441">
        <w:t xml:space="preserve"> </w:t>
      </w:r>
      <w:r w:rsidR="00AB39C1">
        <w:t xml:space="preserve">with </w:t>
      </w:r>
      <w:r w:rsidR="00AE6441">
        <w:t>almost sheer walls.</w:t>
      </w:r>
    </w:p>
    <w:p w:rsidR="00AE6441" w:rsidRDefault="00AE6441" w:rsidP="00E200CF">
      <w:pPr>
        <w:pStyle w:val="Para1"/>
      </w:pPr>
      <w:r>
        <w:t>I am not persuaded by Council’s arguments and find the scale, height and design of the dwellings satisfactory for the following reasons:</w:t>
      </w:r>
    </w:p>
    <w:p w:rsidR="00E45071" w:rsidRDefault="00AE6441" w:rsidP="00AE6441">
      <w:pPr>
        <w:pStyle w:val="Para5"/>
      </w:pPr>
      <w:r>
        <w:t>The dwellings are set back a minimum of 3 metres from Imperial Avenue</w:t>
      </w:r>
      <w:r w:rsidR="00E45071">
        <w:t>.  This set</w:t>
      </w:r>
      <w:r w:rsidR="0074603C">
        <w:t xml:space="preserve"> </w:t>
      </w:r>
      <w:r w:rsidR="00E45071">
        <w:t>back m</w:t>
      </w:r>
      <w:r>
        <w:t>eet</w:t>
      </w:r>
      <w:r w:rsidR="00E45071">
        <w:t>s</w:t>
      </w:r>
      <w:r>
        <w:t xml:space="preserve"> the </w:t>
      </w:r>
      <w:r w:rsidR="00E45071">
        <w:t xml:space="preserve">Clause 55.03-1 (Standard B6 – Street Setback) and provides sufficient spacing for the planting of at least one canopy tree in the front garden </w:t>
      </w:r>
      <w:r w:rsidR="00AB39C1">
        <w:t>of</w:t>
      </w:r>
      <w:r w:rsidR="00E45071">
        <w:t xml:space="preserve"> each dwelling.</w:t>
      </w:r>
    </w:p>
    <w:p w:rsidR="00E45071" w:rsidRDefault="00E45071" w:rsidP="00AE6441">
      <w:pPr>
        <w:pStyle w:val="Para5"/>
      </w:pPr>
      <w:r>
        <w:t>The garages are proposed to be setback 4 metres from Imperial Avenue.  This articulation, in conjunction with the projecting windows to the living room</w:t>
      </w:r>
      <w:r w:rsidR="00AB39C1">
        <w:t xml:space="preserve"> and</w:t>
      </w:r>
      <w:r>
        <w:t xml:space="preserve"> porches</w:t>
      </w:r>
      <w:r w:rsidR="00AB39C1">
        <w:t>,</w:t>
      </w:r>
      <w:r>
        <w:t xml:space="preserve"> provide visual interest in the streetscape.</w:t>
      </w:r>
    </w:p>
    <w:p w:rsidR="00E45071" w:rsidRDefault="00E45071" w:rsidP="00AE6441">
      <w:pPr>
        <w:pStyle w:val="Para5"/>
      </w:pPr>
      <w:r>
        <w:t xml:space="preserve">There is a 5.05 metre gap between the first floors of Dwellings 1 and 2 and </w:t>
      </w:r>
      <w:r w:rsidR="0052561A">
        <w:t xml:space="preserve">a </w:t>
      </w:r>
      <w:r>
        <w:t xml:space="preserve">2 metre gap between Dwellings 2 and 3.  This spacing </w:t>
      </w:r>
      <w:r w:rsidR="0052561A">
        <w:t>breaks up the built form in the streetscape.</w:t>
      </w:r>
    </w:p>
    <w:p w:rsidR="0052561A" w:rsidRDefault="0052561A" w:rsidP="00AE6441">
      <w:pPr>
        <w:pStyle w:val="Para5"/>
      </w:pPr>
      <w:r>
        <w:t>The dwellings propose a maximum height of approximately 7.6 metres.  This height is in accordance with Clause 32.08-10 and is consistent with the height of other two storey dwellings in the wider area.</w:t>
      </w:r>
    </w:p>
    <w:p w:rsidR="0052561A" w:rsidRDefault="0052561A" w:rsidP="00AE6441">
      <w:pPr>
        <w:pStyle w:val="Para5"/>
      </w:pPr>
      <w:r>
        <w:t>The use of varying materials such as face brickwork at ground floor level and render and timber look screens at first floor level break up the built form between the levels.</w:t>
      </w:r>
    </w:p>
    <w:p w:rsidR="001A10B4" w:rsidRDefault="001A10B4" w:rsidP="00AE6441">
      <w:pPr>
        <w:pStyle w:val="Para5"/>
      </w:pPr>
      <w:r>
        <w:t xml:space="preserve">The </w:t>
      </w:r>
      <w:r w:rsidR="008E2DF5">
        <w:t xml:space="preserve">first floors are partially recessed back from the ground floor </w:t>
      </w:r>
      <w:r w:rsidR="0074603C">
        <w:t xml:space="preserve">for </w:t>
      </w:r>
      <w:r w:rsidR="008E2DF5">
        <w:t>all elevations</w:t>
      </w:r>
      <w:r w:rsidR="0074603C">
        <w:t>, with the exception of the en-suite for Dwelling 2 and bathroom for Dwelling 1</w:t>
      </w:r>
      <w:r w:rsidR="008E2DF5">
        <w:t>.</w:t>
      </w:r>
      <w:r>
        <w:t xml:space="preserve"> </w:t>
      </w:r>
    </w:p>
    <w:p w:rsidR="00956E7E" w:rsidRDefault="00956E7E" w:rsidP="00AE6441">
      <w:pPr>
        <w:pStyle w:val="Para5"/>
      </w:pPr>
      <w:r>
        <w:t xml:space="preserve">The ground floor of Dwelling 3 is set back 5.01 metres from the east boundary and provides space for landscaping adjacent to the adjoining rear yard.  This reflects the spacing of other dwellings in </w:t>
      </w:r>
      <w:r w:rsidR="00AB39C1">
        <w:t>Imperial Avenue</w:t>
      </w:r>
      <w:r>
        <w:t xml:space="preserve">.  </w:t>
      </w:r>
    </w:p>
    <w:p w:rsidR="0052561A" w:rsidRDefault="0052561A" w:rsidP="0052561A">
      <w:pPr>
        <w:pStyle w:val="Para1"/>
      </w:pPr>
      <w:r>
        <w:t xml:space="preserve">Council </w:t>
      </w:r>
      <w:r w:rsidR="00AB39C1">
        <w:t xml:space="preserve">argues </w:t>
      </w:r>
      <w:r>
        <w:t xml:space="preserve">the aluminium </w:t>
      </w:r>
      <w:r w:rsidR="000173C4">
        <w:t xml:space="preserve">timber-look </w:t>
      </w:r>
      <w:r>
        <w:t xml:space="preserve">slat screening </w:t>
      </w:r>
      <w:r w:rsidR="00AB39C1">
        <w:t>will</w:t>
      </w:r>
      <w:r>
        <w:t xml:space="preserve"> not ameliorate the overall visual mass as the first floor habitable room windows are </w:t>
      </w:r>
      <w:r w:rsidR="000173C4">
        <w:t xml:space="preserve">obscured by the </w:t>
      </w:r>
      <w:r>
        <w:t xml:space="preserve">screen.  Whilst the elevation plans show a dark block of </w:t>
      </w:r>
      <w:r w:rsidR="001A10B4">
        <w:t>screen over the first floor bedroom windows, I am satisfied thi</w:t>
      </w:r>
      <w:r w:rsidR="008E2DF5">
        <w:t xml:space="preserve">s feature is a </w:t>
      </w:r>
      <w:r w:rsidR="00E92A1F">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2DF5">
        <w:t xml:space="preserve">suitable design response that will provide articulation </w:t>
      </w:r>
      <w:r w:rsidR="00AB39C1">
        <w:t xml:space="preserve">and visual interest </w:t>
      </w:r>
      <w:r w:rsidR="006E523B">
        <w:t>in the streetscape.</w:t>
      </w:r>
    </w:p>
    <w:p w:rsidR="00E45071" w:rsidRDefault="006E523B" w:rsidP="006E523B">
      <w:pPr>
        <w:pStyle w:val="Heading3"/>
      </w:pPr>
      <w:r>
        <w:t>Site Layout and Access</w:t>
      </w:r>
    </w:p>
    <w:p w:rsidR="00BB23E3" w:rsidRDefault="00BB23E3" w:rsidP="006E523B">
      <w:pPr>
        <w:pStyle w:val="Para1"/>
      </w:pPr>
      <w:r>
        <w:t xml:space="preserve">The layout includes all three dwellings facing Imperial Avenue, each with a separate driveway and crossover.  </w:t>
      </w:r>
    </w:p>
    <w:p w:rsidR="00BB23E3" w:rsidRDefault="006E523B" w:rsidP="006E523B">
      <w:pPr>
        <w:pStyle w:val="Para1"/>
      </w:pPr>
      <w:r>
        <w:t xml:space="preserve">Council argues </w:t>
      </w:r>
      <w:r w:rsidR="00BB23E3">
        <w:t>this</w:t>
      </w:r>
      <w:r>
        <w:t xml:space="preserve"> layout fails to satisfactorily integrate with the predominant pattern of development</w:t>
      </w:r>
      <w:r w:rsidR="0088045E">
        <w:t xml:space="preserve"> </w:t>
      </w:r>
      <w:r w:rsidR="00BB23E3">
        <w:t xml:space="preserve">due to the </w:t>
      </w:r>
      <w:r w:rsidR="0088045E">
        <w:t xml:space="preserve">lack of </w:t>
      </w:r>
      <w:r w:rsidR="000173C4">
        <w:t xml:space="preserve">a </w:t>
      </w:r>
      <w:r w:rsidR="0088045E">
        <w:t xml:space="preserve">dwelling </w:t>
      </w:r>
      <w:r w:rsidR="000173C4">
        <w:t xml:space="preserve">entry </w:t>
      </w:r>
      <w:r w:rsidR="0088045E">
        <w:t>to Huntingdale Road and high fencing</w:t>
      </w:r>
      <w:r w:rsidR="00BB23E3">
        <w:t xml:space="preserve">.  It says that it recognises that vehicle access is required to be from Imperial Avenue to avoid </w:t>
      </w:r>
      <w:r w:rsidR="000173C4">
        <w:t xml:space="preserve">traffic </w:t>
      </w:r>
      <w:r w:rsidR="00BB23E3">
        <w:t>impacts on Huntingdale Road</w:t>
      </w:r>
      <w:r w:rsidR="00AB39C1">
        <w:t xml:space="preserve"> (i.e. Road Zone Category 1)</w:t>
      </w:r>
      <w:r w:rsidR="000173C4">
        <w:t xml:space="preserve"> but</w:t>
      </w:r>
      <w:r w:rsidR="00BB23E3">
        <w:t xml:space="preserve"> the layout ‘turns its back’ on the primary street frontage.  This presentation is exacerbated by the high front fence which is inconsistent with the lower front fencing in the area.</w:t>
      </w:r>
    </w:p>
    <w:p w:rsidR="00956E7E" w:rsidRDefault="00956E7E" w:rsidP="00956E7E">
      <w:pPr>
        <w:pStyle w:val="Para1"/>
      </w:pPr>
      <w:r>
        <w:t xml:space="preserve">The applicant says the existing dwelling has </w:t>
      </w:r>
      <w:r w:rsidR="00CA585E">
        <w:t xml:space="preserve">no relationship with Huntingdale Road as </w:t>
      </w:r>
      <w:r w:rsidR="000173C4">
        <w:t>the</w:t>
      </w:r>
      <w:r w:rsidR="00CA585E">
        <w:t xml:space="preserve"> frontage is enclosed by a 1.8 metre high fence</w:t>
      </w:r>
      <w:r w:rsidR="007237FE">
        <w:t xml:space="preserve"> and the </w:t>
      </w:r>
      <w:r>
        <w:t xml:space="preserve">pedestrian and vehicle access </w:t>
      </w:r>
      <w:r w:rsidR="006B2337">
        <w:t xml:space="preserve">is currently </w:t>
      </w:r>
      <w:r>
        <w:t>from Imperial Avenue</w:t>
      </w:r>
      <w:r w:rsidR="00CA585E">
        <w:t xml:space="preserve">.  </w:t>
      </w:r>
      <w:r w:rsidR="006B2337">
        <w:t xml:space="preserve">The applicant submits the existing 1.8 metre high fence </w:t>
      </w:r>
      <w:r w:rsidR="00AE1DFA">
        <w:t>is to</w:t>
      </w:r>
      <w:r w:rsidR="006B2337">
        <w:t xml:space="preserve"> be removed and the site will be opened up </w:t>
      </w:r>
      <w:r w:rsidR="00AB39C1">
        <w:t>as</w:t>
      </w:r>
      <w:r w:rsidR="006B2337">
        <w:t xml:space="preserve"> </w:t>
      </w:r>
      <w:r w:rsidR="000173C4">
        <w:t xml:space="preserve">an </w:t>
      </w:r>
      <w:r w:rsidR="006B2337">
        <w:t xml:space="preserve">open </w:t>
      </w:r>
      <w:r w:rsidR="000173C4">
        <w:t>garden</w:t>
      </w:r>
      <w:r w:rsidR="007237FE">
        <w:t xml:space="preserve"> </w:t>
      </w:r>
      <w:r w:rsidR="00AB39C1">
        <w:t xml:space="preserve">is </w:t>
      </w:r>
      <w:r w:rsidR="000173C4">
        <w:t xml:space="preserve">to be </w:t>
      </w:r>
      <w:r w:rsidR="007237FE">
        <w:t xml:space="preserve">provided </w:t>
      </w:r>
      <w:r w:rsidR="006B2337">
        <w:t>in the south-west corner</w:t>
      </w:r>
      <w:r w:rsidR="007237FE">
        <w:t xml:space="preserve"> of the site</w:t>
      </w:r>
      <w:r w:rsidR="006B2337">
        <w:t>.</w:t>
      </w:r>
      <w:r>
        <w:t xml:space="preserve"> </w:t>
      </w:r>
      <w:r w:rsidR="007237FE">
        <w:t xml:space="preserve"> She argues this will be an improve</w:t>
      </w:r>
      <w:r w:rsidR="00AB39C1">
        <w:t xml:space="preserve">ment to the </w:t>
      </w:r>
      <w:r w:rsidR="007237FE">
        <w:t>exist</w:t>
      </w:r>
      <w:r w:rsidR="00AB39C1">
        <w:t>ing conditions</w:t>
      </w:r>
      <w:r w:rsidR="007237FE">
        <w:t>.</w:t>
      </w:r>
    </w:p>
    <w:p w:rsidR="00956E7E" w:rsidRDefault="00BB23E3" w:rsidP="00E200CF">
      <w:pPr>
        <w:pStyle w:val="Para1"/>
      </w:pPr>
      <w:r>
        <w:t xml:space="preserve">I </w:t>
      </w:r>
      <w:r w:rsidR="008966DC">
        <w:t xml:space="preserve">find that </w:t>
      </w:r>
      <w:r>
        <w:t xml:space="preserve">Dwelling 1 </w:t>
      </w:r>
      <w:r w:rsidR="007237FE">
        <w:t>will</w:t>
      </w:r>
      <w:r>
        <w:t xml:space="preserve"> not satisfactorily integrate with </w:t>
      </w:r>
      <w:r w:rsidR="00CA585E">
        <w:t>the layout of other dwellings</w:t>
      </w:r>
      <w:r w:rsidR="0036015F">
        <w:t xml:space="preserve"> on</w:t>
      </w:r>
      <w:r w:rsidR="00CA585E">
        <w:t xml:space="preserve"> </w:t>
      </w:r>
      <w:r>
        <w:t>Huntingdale Road</w:t>
      </w:r>
      <w:r w:rsidR="008966DC">
        <w:t xml:space="preserve"> as it has no entry facing the primary street frontage</w:t>
      </w:r>
      <w:r w:rsidR="00CA585E">
        <w:t xml:space="preserve">.  </w:t>
      </w:r>
      <w:r w:rsidR="007237FE">
        <w:t>I observed t</w:t>
      </w:r>
      <w:r w:rsidR="00CA585E">
        <w:t>his area contains dw</w:t>
      </w:r>
      <w:r w:rsidR="00956E7E">
        <w:t xml:space="preserve">ellings, including </w:t>
      </w:r>
      <w:r w:rsidR="007237FE">
        <w:t xml:space="preserve">those on </w:t>
      </w:r>
      <w:r w:rsidR="00956E7E">
        <w:t>corner lots</w:t>
      </w:r>
      <w:r w:rsidR="007237FE">
        <w:t xml:space="preserve"> </w:t>
      </w:r>
      <w:r w:rsidR="00CA585E">
        <w:t>that generally</w:t>
      </w:r>
      <w:r w:rsidR="00956E7E">
        <w:t xml:space="preserve"> fac</w:t>
      </w:r>
      <w:r w:rsidR="00C143BA">
        <w:t>e</w:t>
      </w:r>
      <w:r w:rsidR="00956E7E">
        <w:t xml:space="preserve"> </w:t>
      </w:r>
      <w:r w:rsidR="00CA585E">
        <w:t>the primary street frontage</w:t>
      </w:r>
      <w:r>
        <w:t xml:space="preserve">.  </w:t>
      </w:r>
      <w:r w:rsidR="006F2F96">
        <w:t xml:space="preserve">Whilst </w:t>
      </w:r>
      <w:r w:rsidR="007237FE">
        <w:t xml:space="preserve">I acknowledge </w:t>
      </w:r>
      <w:r w:rsidR="006F2F96">
        <w:t xml:space="preserve">that </w:t>
      </w:r>
      <w:r w:rsidR="00956E7E">
        <w:t xml:space="preserve">there is </w:t>
      </w:r>
      <w:r w:rsidR="00AE1DFA">
        <w:t>a</w:t>
      </w:r>
      <w:r w:rsidR="00956E7E">
        <w:t xml:space="preserve"> 1.8 metre high fence </w:t>
      </w:r>
      <w:r w:rsidR="00AE1DFA">
        <w:t>around the</w:t>
      </w:r>
      <w:r w:rsidR="00956E7E">
        <w:t xml:space="preserve"> frontage</w:t>
      </w:r>
      <w:r w:rsidR="007237FE">
        <w:t xml:space="preserve"> of the existing dwelling</w:t>
      </w:r>
      <w:r w:rsidR="006F2F96">
        <w:t xml:space="preserve">, </w:t>
      </w:r>
      <w:r w:rsidR="007237FE">
        <w:t xml:space="preserve">this does </w:t>
      </w:r>
      <w:r w:rsidR="006F2F96">
        <w:t xml:space="preserve">prevent </w:t>
      </w:r>
      <w:r w:rsidR="00CA585E">
        <w:t>a</w:t>
      </w:r>
      <w:r w:rsidR="00AE1DFA">
        <w:t>ny</w:t>
      </w:r>
      <w:r w:rsidR="00CA585E">
        <w:t xml:space="preserve"> </w:t>
      </w:r>
      <w:r w:rsidR="007237FE">
        <w:t xml:space="preserve">new development </w:t>
      </w:r>
      <w:r w:rsidR="006F2F96">
        <w:t>being</w:t>
      </w:r>
      <w:r w:rsidR="007237FE">
        <w:t xml:space="preserve"> designed to </w:t>
      </w:r>
      <w:r w:rsidR="006F2F96">
        <w:t xml:space="preserve">include a dwelling </w:t>
      </w:r>
      <w:r w:rsidR="00CA585E">
        <w:t>fac</w:t>
      </w:r>
      <w:r w:rsidR="006F2F96">
        <w:t>ing</w:t>
      </w:r>
      <w:r w:rsidR="00CA585E">
        <w:t xml:space="preserve"> </w:t>
      </w:r>
      <w:r w:rsidR="00C143BA">
        <w:t>Huntingdale Road</w:t>
      </w:r>
      <w:r w:rsidR="00956E7E">
        <w:t xml:space="preserve">.  </w:t>
      </w:r>
    </w:p>
    <w:p w:rsidR="00956E7E" w:rsidRDefault="007237FE" w:rsidP="00E200CF">
      <w:pPr>
        <w:pStyle w:val="Para1"/>
      </w:pPr>
      <w:r>
        <w:t xml:space="preserve">Given the layout of the dwellings, it is evident the ground floor of Dwelling 1 can be amended </w:t>
      </w:r>
      <w:r w:rsidR="00C143BA">
        <w:t xml:space="preserve">to </w:t>
      </w:r>
      <w:r>
        <w:t xml:space="preserve">relocate the front entry to Huntingdale Road.  When questioned about this possibility, the applicant agreed it </w:t>
      </w:r>
      <w:r w:rsidR="00C143BA">
        <w:t>can</w:t>
      </w:r>
      <w:r>
        <w:t xml:space="preserve"> be </w:t>
      </w:r>
      <w:r w:rsidR="00AE1DFA">
        <w:t>accommodated in the design</w:t>
      </w:r>
      <w:r>
        <w:t xml:space="preserve">.  I will therefore require this amendment </w:t>
      </w:r>
      <w:r w:rsidR="006B2337">
        <w:t>as a condition on the permit.</w:t>
      </w:r>
    </w:p>
    <w:p w:rsidR="006B2337" w:rsidRDefault="006B2337" w:rsidP="00E200CF">
      <w:pPr>
        <w:pStyle w:val="Para1"/>
      </w:pPr>
      <w:r>
        <w:t xml:space="preserve">This amendment will </w:t>
      </w:r>
      <w:r w:rsidR="00AE1DFA">
        <w:t xml:space="preserve">also require </w:t>
      </w:r>
      <w:r>
        <w:t>relocati</w:t>
      </w:r>
      <w:r w:rsidR="00AE1DFA">
        <w:t xml:space="preserve">on of the 1.8 metre metal fence </w:t>
      </w:r>
      <w:r>
        <w:t xml:space="preserve">across the frontage setback </w:t>
      </w:r>
      <w:r w:rsidR="00360425">
        <w:t xml:space="preserve">be clear of the entry door and </w:t>
      </w:r>
      <w:r>
        <w:t xml:space="preserve">to </w:t>
      </w:r>
      <w:r w:rsidR="00AE1DFA">
        <w:t>facilitate</w:t>
      </w:r>
      <w:r>
        <w:t xml:space="preserve"> pedestrian access from the south-west corner </w:t>
      </w:r>
      <w:r w:rsidR="00AE1DFA">
        <w:t xml:space="preserve">of the </w:t>
      </w:r>
      <w:r w:rsidR="00C143BA">
        <w:t>site</w:t>
      </w:r>
      <w:r>
        <w:t xml:space="preserve">.  This will also be </w:t>
      </w:r>
      <w:r w:rsidR="00AE1DFA">
        <w:t xml:space="preserve">included as </w:t>
      </w:r>
      <w:r>
        <w:t>a condition</w:t>
      </w:r>
      <w:r w:rsidR="007237FE">
        <w:t xml:space="preserve"> on the permit</w:t>
      </w:r>
      <w:r>
        <w:t xml:space="preserve">. </w:t>
      </w:r>
    </w:p>
    <w:p w:rsidR="004B2A37" w:rsidRDefault="00AE1DFA" w:rsidP="00E200CF">
      <w:pPr>
        <w:pStyle w:val="Para1"/>
      </w:pPr>
      <w:r>
        <w:t xml:space="preserve">Council is also concerned </w:t>
      </w:r>
      <w:r w:rsidR="004B2A37">
        <w:t xml:space="preserve">about the pattern of three vehicle access points </w:t>
      </w:r>
      <w:r w:rsidR="00C143BA">
        <w:t xml:space="preserve">on Imperial Avenue and </w:t>
      </w:r>
      <w:r w:rsidR="004B2A37">
        <w:t>the loss of the street tree</w:t>
      </w:r>
      <w:r w:rsidR="00360425">
        <w:t>.  It says this</w:t>
      </w:r>
      <w:r w:rsidR="004B2A37">
        <w:t xml:space="preserve"> is inconsistent </w:t>
      </w:r>
      <w:r w:rsidR="00360425">
        <w:t xml:space="preserve">pattern of crossovers and landscaping in the </w:t>
      </w:r>
      <w:r w:rsidR="004B2A37">
        <w:t>streetscape.</w:t>
      </w:r>
    </w:p>
    <w:p w:rsidR="004B2A37" w:rsidRDefault="004B2A37" w:rsidP="00E200CF">
      <w:pPr>
        <w:pStyle w:val="Para1"/>
      </w:pPr>
      <w:r>
        <w:t xml:space="preserve">I do not share Council’s concerns as there is already an existing double and single crossover onto Imperial Avenue.  </w:t>
      </w:r>
      <w:r w:rsidR="00C15B1E">
        <w:t>I consider t</w:t>
      </w:r>
      <w:r>
        <w:t xml:space="preserve">he extent of paving for </w:t>
      </w:r>
      <w:r w:rsidR="00E92A1F">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the three </w:t>
      </w:r>
      <w:r w:rsidR="00C143BA">
        <w:t xml:space="preserve">new </w:t>
      </w:r>
      <w:r>
        <w:t xml:space="preserve">crossovers is consistent with the existing </w:t>
      </w:r>
      <w:r w:rsidR="00C143BA">
        <w:t>conditions in th</w:t>
      </w:r>
      <w:r w:rsidR="00076E95">
        <w:t>e</w:t>
      </w:r>
      <w:r w:rsidR="00C143BA">
        <w:t xml:space="preserve"> </w:t>
      </w:r>
      <w:r>
        <w:t>street.</w:t>
      </w:r>
    </w:p>
    <w:p w:rsidR="00AE1DFA" w:rsidRDefault="00AE1DFA" w:rsidP="00AE1DFA">
      <w:pPr>
        <w:pStyle w:val="Heading3"/>
      </w:pPr>
      <w:r>
        <w:t xml:space="preserve">Fencing </w:t>
      </w:r>
    </w:p>
    <w:p w:rsidR="00C15B1E" w:rsidRDefault="00AE1DFA" w:rsidP="00E200CF">
      <w:pPr>
        <w:pStyle w:val="Para1"/>
      </w:pPr>
      <w:r>
        <w:t xml:space="preserve">The GRZ2 requires a front fence within 3 metres of a street to not exceed 1.2 metres.  The plans indicate removal of the existing 1.8m high brick pier and paling fence </w:t>
      </w:r>
      <w:r w:rsidR="003C543A">
        <w:t xml:space="preserve">and replacement </w:t>
      </w:r>
      <w:r>
        <w:t xml:space="preserve">with a 1.8 metre high fence that comprises low bricks and metal pickets.  </w:t>
      </w:r>
    </w:p>
    <w:p w:rsidR="00AE1DFA" w:rsidRDefault="00C143BA" w:rsidP="00E200CF">
      <w:pPr>
        <w:pStyle w:val="Para1"/>
      </w:pPr>
      <w:r>
        <w:t>I find t</w:t>
      </w:r>
      <w:r w:rsidR="00AE1DFA">
        <w:t>h</w:t>
      </w:r>
      <w:r w:rsidR="00C15B1E">
        <w:t>e proposed</w:t>
      </w:r>
      <w:r w:rsidR="00AE1DFA">
        <w:t xml:space="preserve"> fencing </w:t>
      </w:r>
      <w:r w:rsidR="003C543A">
        <w:t xml:space="preserve">is an improvement to the existing conditions as it is 25% permeable and does not fully enclose the frontage.  This will open up the south-west corner of the site and is similar in </w:t>
      </w:r>
      <w:r w:rsidR="00C15B1E">
        <w:t xml:space="preserve">fencing </w:t>
      </w:r>
      <w:r w:rsidR="003C543A">
        <w:t xml:space="preserve">layout to the dwelling </w:t>
      </w:r>
      <w:r>
        <w:t>to the south</w:t>
      </w:r>
      <w:r w:rsidR="003C543A">
        <w:t xml:space="preserve"> at 314 Huntingdale Road.  </w:t>
      </w:r>
    </w:p>
    <w:p w:rsidR="003C543A" w:rsidRDefault="003C543A" w:rsidP="003C543A">
      <w:pPr>
        <w:pStyle w:val="Heading3"/>
      </w:pPr>
      <w:r>
        <w:t>Landscaping</w:t>
      </w:r>
    </w:p>
    <w:p w:rsidR="003C543A" w:rsidRDefault="003C543A" w:rsidP="00E200CF">
      <w:pPr>
        <w:pStyle w:val="Para1"/>
      </w:pPr>
      <w:r>
        <w:t xml:space="preserve">Council </w:t>
      </w:r>
      <w:r w:rsidR="00C143BA">
        <w:t>argues</w:t>
      </w:r>
      <w:r>
        <w:t xml:space="preserve"> the proposal fails to respond to the landscape character of the neighbourhood.  It says the siting of the dwellings </w:t>
      </w:r>
      <w:r w:rsidR="00C15B1E">
        <w:t>does not</w:t>
      </w:r>
      <w:r>
        <w:t xml:space="preserve"> allow </w:t>
      </w:r>
      <w:r w:rsidR="00C15B1E">
        <w:t>sufficient</w:t>
      </w:r>
      <w:r>
        <w:t xml:space="preserve"> </w:t>
      </w:r>
      <w:r w:rsidR="00C15B1E">
        <w:t xml:space="preserve">space for </w:t>
      </w:r>
      <w:r>
        <w:t xml:space="preserve">landscaping along the side street boundary.  </w:t>
      </w:r>
    </w:p>
    <w:p w:rsidR="007D560F" w:rsidRDefault="007D560F" w:rsidP="00E200CF">
      <w:pPr>
        <w:pStyle w:val="Para1"/>
      </w:pPr>
      <w:r>
        <w:t xml:space="preserve">I find </w:t>
      </w:r>
      <w:r w:rsidR="00C15B1E">
        <w:t>the G</w:t>
      </w:r>
      <w:r>
        <w:t xml:space="preserve">arden </w:t>
      </w:r>
      <w:r w:rsidR="00C15B1E">
        <w:t>C</w:t>
      </w:r>
      <w:r>
        <w:t xml:space="preserve">ity character of this neighbourhood will be enhanced as there is </w:t>
      </w:r>
      <w:r w:rsidR="00C15B1E">
        <w:t>enough</w:t>
      </w:r>
      <w:r>
        <w:t xml:space="preserve"> space for landscaping </w:t>
      </w:r>
      <w:r w:rsidR="00C15B1E">
        <w:t>as the dwellings are set back a minimum of 3 metres from Imperial Avenue</w:t>
      </w:r>
      <w:r>
        <w:t xml:space="preserve">. The indicative planting on the ground floor plan demonstrates at least one medium height canopy tree and low level planting </w:t>
      </w:r>
      <w:r w:rsidR="00C15B1E">
        <w:t xml:space="preserve">can be planted </w:t>
      </w:r>
      <w:r>
        <w:t xml:space="preserve">in the frontage of each dwelling.   There is also space for </w:t>
      </w:r>
      <w:r w:rsidR="00C15B1E">
        <w:t xml:space="preserve">a </w:t>
      </w:r>
      <w:r>
        <w:t xml:space="preserve">larger canopy tree in the secluded open space of each dwelling. </w:t>
      </w:r>
    </w:p>
    <w:p w:rsidR="007D560F" w:rsidRDefault="007D560F" w:rsidP="00E200CF">
      <w:pPr>
        <w:pStyle w:val="Para1"/>
      </w:pPr>
      <w:r>
        <w:t xml:space="preserve">The proposed relocation of the dwelling entry for Dwelling 1 </w:t>
      </w:r>
      <w:r w:rsidR="00C143BA">
        <w:t xml:space="preserve">that is to be included as condition on the permit </w:t>
      </w:r>
      <w:r>
        <w:t xml:space="preserve">will also increase landscaping in </w:t>
      </w:r>
      <w:r w:rsidR="00C143BA">
        <w:t>Imperial Avenue</w:t>
      </w:r>
      <w:r>
        <w:t>.</w:t>
      </w:r>
    </w:p>
    <w:p w:rsidR="007D560F" w:rsidRDefault="00C15B1E" w:rsidP="00E200CF">
      <w:pPr>
        <w:pStyle w:val="Para1"/>
      </w:pPr>
      <w:r>
        <w:t>T</w:t>
      </w:r>
      <w:r w:rsidR="00C143BA">
        <w:t xml:space="preserve">here is </w:t>
      </w:r>
      <w:r w:rsidR="007D560F">
        <w:t xml:space="preserve">a Liquidambar (Tree 6 – 10 metres), Monterey Cypress (Tree 8 – 4 metres) and Coast Banksia (Tree 9 – 8 metres) </w:t>
      </w:r>
      <w:r w:rsidR="00C143BA">
        <w:t>in the frontage</w:t>
      </w:r>
      <w:r>
        <w:t xml:space="preserve"> that a</w:t>
      </w:r>
      <w:r w:rsidR="007D560F">
        <w:t>re to be retained.  This response will maintain the canopy tree presence in Huntingdale Road.</w:t>
      </w:r>
    </w:p>
    <w:p w:rsidR="007D560F" w:rsidRDefault="007D560F" w:rsidP="00E200CF">
      <w:pPr>
        <w:pStyle w:val="Para1"/>
      </w:pPr>
      <w:r>
        <w:t>Council expressed concern about the loss of a street tree</w:t>
      </w:r>
      <w:r w:rsidR="00C143BA">
        <w:t xml:space="preserve"> in Imperial Avenue</w:t>
      </w:r>
      <w:r>
        <w:t xml:space="preserve"> to accommodate the</w:t>
      </w:r>
      <w:r w:rsidR="007C5025">
        <w:t xml:space="preserve"> </w:t>
      </w:r>
      <w:r w:rsidR="00C15B1E">
        <w:t xml:space="preserve">vehicle </w:t>
      </w:r>
      <w:r w:rsidR="007C5025">
        <w:t xml:space="preserve">crossings for Dwellings 1 and 2.  This is a Melaleuca (Tree 2 – 2 metres high).  </w:t>
      </w:r>
      <w:r w:rsidR="00C15B1E">
        <w:t>The plans indicate</w:t>
      </w:r>
      <w:r w:rsidR="007C5025">
        <w:t xml:space="preserve"> there is sufficient space on the nature-strip for replacement planting to maintain the landscape character of the street.</w:t>
      </w:r>
    </w:p>
    <w:p w:rsidR="007C5025" w:rsidRDefault="007C5025" w:rsidP="007C5025">
      <w:pPr>
        <w:pStyle w:val="Heading3"/>
      </w:pPr>
      <w:r>
        <w:t>Design Detail</w:t>
      </w:r>
    </w:p>
    <w:p w:rsidR="007C5025" w:rsidRDefault="007C5025" w:rsidP="00E200CF">
      <w:pPr>
        <w:pStyle w:val="Para1"/>
      </w:pPr>
      <w:r>
        <w:t xml:space="preserve">Council is concerned about the contemporary design of the dwellings.  It says the dwellings incorporate </w:t>
      </w:r>
      <w:r w:rsidR="00E40AD9">
        <w:t>some</w:t>
      </w:r>
      <w:r>
        <w:t xml:space="preserve"> features that are out of keeping with predominant built form, including a roof </w:t>
      </w:r>
      <w:r w:rsidR="00C143BA">
        <w:t xml:space="preserve">profile </w:t>
      </w:r>
      <w:r>
        <w:t>that lacks wide eaves and the screen panels</w:t>
      </w:r>
      <w:r w:rsidR="00E40AD9">
        <w:t xml:space="preserve"> at first floor level</w:t>
      </w:r>
      <w:r>
        <w:t>.</w:t>
      </w:r>
    </w:p>
    <w:p w:rsidR="007C5025" w:rsidRDefault="00E92A1F" w:rsidP="00E200CF">
      <w:pPr>
        <w:pStyle w:val="Para1"/>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5025">
        <w:t>I am satisfied the contemporary design of the dwellings will compl</w:t>
      </w:r>
      <w:r w:rsidR="00041705">
        <w:t>e</w:t>
      </w:r>
      <w:r w:rsidR="007C5025">
        <w:t xml:space="preserve">ment the range of dwelling styles </w:t>
      </w:r>
      <w:r w:rsidR="00C143BA">
        <w:t xml:space="preserve">found </w:t>
      </w:r>
      <w:r w:rsidR="007C5025">
        <w:t>in th</w:t>
      </w:r>
      <w:r w:rsidR="004A08F5">
        <w:t>is</w:t>
      </w:r>
      <w:r w:rsidR="007C5025">
        <w:t xml:space="preserve"> area.  </w:t>
      </w:r>
      <w:r w:rsidR="00041705">
        <w:t xml:space="preserve">I have come to this conclusion as </w:t>
      </w:r>
      <w:r w:rsidR="007C5025">
        <w:t xml:space="preserve">there are </w:t>
      </w:r>
      <w:r w:rsidR="00E40AD9">
        <w:t xml:space="preserve">dwellings with </w:t>
      </w:r>
      <w:r w:rsidR="007C5025">
        <w:t>skillion</w:t>
      </w:r>
      <w:r w:rsidR="00041705">
        <w:t xml:space="preserve"> roofs </w:t>
      </w:r>
      <w:r w:rsidR="004A08F5">
        <w:t xml:space="preserve">located </w:t>
      </w:r>
      <w:r w:rsidR="00C143BA">
        <w:t>nearby</w:t>
      </w:r>
      <w:r w:rsidR="007C5025">
        <w:t xml:space="preserve">, including directly opposite at </w:t>
      </w:r>
      <w:r w:rsidR="00041705">
        <w:t xml:space="preserve">314 Huntingdale Road. Whilst </w:t>
      </w:r>
      <w:r w:rsidR="00E40AD9">
        <w:t>there were no dwellings with</w:t>
      </w:r>
      <w:r w:rsidR="00041705">
        <w:t xml:space="preserve"> timber panelling</w:t>
      </w:r>
      <w:r w:rsidR="00C143BA">
        <w:t>/slats</w:t>
      </w:r>
      <w:r w:rsidR="00041705">
        <w:t xml:space="preserve"> over the windows</w:t>
      </w:r>
      <w:r w:rsidR="00C143BA">
        <w:t>,</w:t>
      </w:r>
      <w:r w:rsidR="00041705">
        <w:t xml:space="preserve"> I find this acceptable </w:t>
      </w:r>
      <w:r w:rsidR="004A08F5">
        <w:t xml:space="preserve">in </w:t>
      </w:r>
      <w:r w:rsidR="00DF270B">
        <w:t>a</w:t>
      </w:r>
      <w:r w:rsidR="00C143BA">
        <w:t xml:space="preserve"> </w:t>
      </w:r>
      <w:r w:rsidR="00041705">
        <w:t xml:space="preserve">neighbourhood </w:t>
      </w:r>
      <w:r w:rsidR="00E40AD9">
        <w:t xml:space="preserve">that </w:t>
      </w:r>
      <w:r w:rsidR="00041705">
        <w:t xml:space="preserve">contains </w:t>
      </w:r>
      <w:r w:rsidR="00E40AD9">
        <w:t xml:space="preserve">a </w:t>
      </w:r>
      <w:r w:rsidR="00041705">
        <w:t>varie</w:t>
      </w:r>
      <w:r w:rsidR="00E40AD9">
        <w:t>ty of</w:t>
      </w:r>
      <w:r w:rsidR="00041705">
        <w:t xml:space="preserve"> dwelling styles.  </w:t>
      </w:r>
    </w:p>
    <w:p w:rsidR="00041705" w:rsidRDefault="00041705" w:rsidP="00041705">
      <w:pPr>
        <w:pStyle w:val="Heading2"/>
        <w:rPr>
          <w:lang w:eastAsia="en-AU"/>
        </w:rPr>
      </w:pPr>
      <w:r>
        <w:rPr>
          <w:lang w:eastAsia="en-AU"/>
        </w:rPr>
        <w:t xml:space="preserve">amenity impacts </w:t>
      </w:r>
    </w:p>
    <w:p w:rsidR="001076AA" w:rsidRDefault="001076AA" w:rsidP="001076AA">
      <w:pPr>
        <w:pStyle w:val="Heading3"/>
      </w:pPr>
      <w:r>
        <w:t>Overlooking</w:t>
      </w:r>
    </w:p>
    <w:p w:rsidR="001076AA" w:rsidRDefault="00B1013A" w:rsidP="00E200CF">
      <w:pPr>
        <w:pStyle w:val="Para1"/>
      </w:pPr>
      <w:r>
        <w:t xml:space="preserve">The adjoining owner/occupier to the east at 19 Hillview Avenue </w:t>
      </w:r>
      <w:r w:rsidR="001076AA">
        <w:t xml:space="preserve">is concerned </w:t>
      </w:r>
      <w:r w:rsidR="00156AA9">
        <w:t>about potential</w:t>
      </w:r>
      <w:r w:rsidR="001076AA">
        <w:t xml:space="preserve"> views </w:t>
      </w:r>
      <w:r w:rsidR="00E64CCA">
        <w:t xml:space="preserve">from Dwelling 3 </w:t>
      </w:r>
      <w:r w:rsidR="001076AA">
        <w:t xml:space="preserve">into </w:t>
      </w:r>
      <w:r w:rsidR="00D44FCD">
        <w:t>his</w:t>
      </w:r>
      <w:r w:rsidR="001076AA">
        <w:t xml:space="preserve"> rear yard, dining room, kitchen, lounge room and back porch of his dwelling.</w:t>
      </w:r>
    </w:p>
    <w:p w:rsidR="001076AA" w:rsidRDefault="001076AA" w:rsidP="004D4008">
      <w:pPr>
        <w:pStyle w:val="Para1"/>
      </w:pPr>
      <w:r>
        <w:t xml:space="preserve">I find the design of Dwelling 3 meets the requirements of Clause 55.04-6 (Standard B22) </w:t>
      </w:r>
      <w:r w:rsidR="00D44FCD">
        <w:t xml:space="preserve">as the plans show there is a 1.8 metre high paling fence along the east (rear) boundary and two highlight windows to a bathroom and toilet facing in the east elevation.  </w:t>
      </w:r>
      <w:r w:rsidR="00E64CCA">
        <w:t xml:space="preserve">I am satisfied the dwelling has been designed to ensure there is </w:t>
      </w:r>
      <w:r>
        <w:t xml:space="preserve">no unreasonable overlooking of the objector’s property. </w:t>
      </w:r>
    </w:p>
    <w:p w:rsidR="001076AA" w:rsidRDefault="001076AA" w:rsidP="001076AA">
      <w:pPr>
        <w:pStyle w:val="Heading3"/>
      </w:pPr>
      <w:r>
        <w:t>Internal Amenity</w:t>
      </w:r>
    </w:p>
    <w:p w:rsidR="002E6AF8" w:rsidRDefault="001076AA" w:rsidP="001076AA">
      <w:pPr>
        <w:pStyle w:val="Para1"/>
      </w:pPr>
      <w:r>
        <w:t xml:space="preserve">I am concerned the design and layout of the dwellings </w:t>
      </w:r>
      <w:r w:rsidR="002E6AF8">
        <w:t>does</w:t>
      </w:r>
      <w:r>
        <w:t xml:space="preserve"> not provide a satisfactory level of internal amenity for future occupants.  This includes the lack of connectivity </w:t>
      </w:r>
      <w:r w:rsidR="002E6AF8">
        <w:t xml:space="preserve">between </w:t>
      </w:r>
      <w:r>
        <w:t xml:space="preserve">the ground floor of Dwelling 1 </w:t>
      </w:r>
      <w:r w:rsidR="002E6AF8">
        <w:t>and</w:t>
      </w:r>
      <w:r>
        <w:t xml:space="preserve"> the frontage setback.  The plans show </w:t>
      </w:r>
      <w:r w:rsidR="002E6AF8">
        <w:t xml:space="preserve">there is no direct connection between the </w:t>
      </w:r>
      <w:r w:rsidR="00D44FCD">
        <w:t xml:space="preserve">family room and the </w:t>
      </w:r>
      <w:r w:rsidR="002E6AF8">
        <w:t>frontage</w:t>
      </w:r>
      <w:r w:rsidR="00D44FCD">
        <w:t xml:space="preserve"> that is enclosed by 1.8 metre high fencing</w:t>
      </w:r>
      <w:r w:rsidR="002E6AF8">
        <w:t xml:space="preserve">.  </w:t>
      </w:r>
    </w:p>
    <w:p w:rsidR="001076AA" w:rsidRDefault="002E6AF8" w:rsidP="001076AA">
      <w:pPr>
        <w:pStyle w:val="Para1"/>
      </w:pPr>
      <w:r>
        <w:t xml:space="preserve">I will require the </w:t>
      </w:r>
      <w:r w:rsidR="00D44FCD">
        <w:t xml:space="preserve">west elevation </w:t>
      </w:r>
      <w:r>
        <w:t xml:space="preserve">family room </w:t>
      </w:r>
      <w:r w:rsidR="00D44FCD">
        <w:t xml:space="preserve">windows </w:t>
      </w:r>
      <w:r>
        <w:t>to be converted to a glazed sliding door to provide some connectivity to the frontage as a condition on the permit.  The applicant indicated this amendment can be incorporated into the design.</w:t>
      </w:r>
    </w:p>
    <w:p w:rsidR="002E6AF8" w:rsidRDefault="00AE449E" w:rsidP="001076AA">
      <w:pPr>
        <w:pStyle w:val="Para1"/>
      </w:pPr>
      <w:r>
        <w:t>The</w:t>
      </w:r>
      <w:r w:rsidR="002E6AF8">
        <w:t xml:space="preserve"> first floor master bedroom of Dwelling 2 includes screening to the north elevation window </w:t>
      </w:r>
      <w:r>
        <w:t>and</w:t>
      </w:r>
      <w:r w:rsidR="002E6AF8">
        <w:t xml:space="preserve"> the en-suite and robe windows face Imperial Avenue.  </w:t>
      </w:r>
      <w:r w:rsidR="00D44FCD">
        <w:t>I consider t</w:t>
      </w:r>
      <w:r w:rsidR="002E6AF8">
        <w:t xml:space="preserve">his </w:t>
      </w:r>
      <w:r>
        <w:t xml:space="preserve">layout </w:t>
      </w:r>
      <w:r w:rsidR="002E6AF8">
        <w:t>lower</w:t>
      </w:r>
      <w:r>
        <w:t>s</w:t>
      </w:r>
      <w:r w:rsidR="002E6AF8">
        <w:t xml:space="preserve"> the level of amenity </w:t>
      </w:r>
      <w:r w:rsidR="00D44FCD">
        <w:t>of</w:t>
      </w:r>
      <w:r w:rsidR="002E6AF8">
        <w:t xml:space="preserve"> this room as it fails to have an</w:t>
      </w:r>
      <w:r>
        <w:t>y</w:t>
      </w:r>
      <w:r w:rsidR="002E6AF8">
        <w:t xml:space="preserve"> outlook to the street and relies on daylight from a narrow </w:t>
      </w:r>
      <w:r w:rsidR="00D44FCD">
        <w:t xml:space="preserve">north facing </w:t>
      </w:r>
      <w:r w:rsidR="002E6AF8">
        <w:t>window</w:t>
      </w:r>
      <w:r>
        <w:t xml:space="preserve"> that is screened up to 1700mm</w:t>
      </w:r>
      <w:r w:rsidR="002E6AF8">
        <w:t xml:space="preserve">.  The applicant was </w:t>
      </w:r>
      <w:r w:rsidR="00D44FCD">
        <w:t>unable to explain why the dwelling ha</w:t>
      </w:r>
      <w:r>
        <w:t xml:space="preserve">d </w:t>
      </w:r>
      <w:r w:rsidR="00D44FCD">
        <w:t>b</w:t>
      </w:r>
      <w:r>
        <w:t>e</w:t>
      </w:r>
      <w:r w:rsidR="00D44FCD">
        <w:t>e</w:t>
      </w:r>
      <w:r>
        <w:t>n</w:t>
      </w:r>
      <w:r w:rsidR="00D44FCD">
        <w:t xml:space="preserve"> designed </w:t>
      </w:r>
      <w:r>
        <w:t xml:space="preserve">this way and why the master bedroom had not taken </w:t>
      </w:r>
      <w:r w:rsidR="00D44FCD">
        <w:t xml:space="preserve">advantage of </w:t>
      </w:r>
      <w:r>
        <w:t>the street</w:t>
      </w:r>
      <w:r w:rsidR="00D44FCD">
        <w:t xml:space="preserve"> frontage.  </w:t>
      </w:r>
    </w:p>
    <w:p w:rsidR="002E6AF8" w:rsidRDefault="00D44FCD" w:rsidP="001076AA">
      <w:pPr>
        <w:pStyle w:val="Para1"/>
      </w:pPr>
      <w:r>
        <w:t xml:space="preserve">To improve the amenity of this dwelling, </w:t>
      </w:r>
      <w:r w:rsidR="002E6AF8">
        <w:t xml:space="preserve">I will require the master bedroom </w:t>
      </w:r>
      <w:r>
        <w:t xml:space="preserve">to </w:t>
      </w:r>
      <w:r w:rsidR="002E6AF8">
        <w:t>be relocated to face Imperial Avenue.  Th</w:t>
      </w:r>
      <w:r w:rsidR="00AE449E">
        <w:t>e</w:t>
      </w:r>
      <w:r w:rsidR="002E6AF8">
        <w:t xml:space="preserve"> </w:t>
      </w:r>
      <w:r w:rsidR="00AE449E">
        <w:t>redesign</w:t>
      </w:r>
      <w:r w:rsidR="002E6AF8">
        <w:t xml:space="preserve"> will avoid screening of this window and provide </w:t>
      </w:r>
      <w:r w:rsidR="00AE449E">
        <w:t>the master bedroom with an</w:t>
      </w:r>
      <w:r w:rsidR="002E6AF8">
        <w:t xml:space="preserve"> outlook to the street.  </w:t>
      </w:r>
    </w:p>
    <w:p w:rsidR="001076AA" w:rsidRDefault="001076AA" w:rsidP="001076AA">
      <w:pPr>
        <w:pStyle w:val="Heading3"/>
        <w:rPr>
          <w:lang w:eastAsia="en-AU"/>
        </w:rPr>
      </w:pPr>
      <w:r>
        <w:rPr>
          <w:lang w:eastAsia="en-AU"/>
        </w:rPr>
        <w:t>Is the provision of car parking satisfactory?</w:t>
      </w:r>
    </w:p>
    <w:p w:rsidR="001076AA" w:rsidRDefault="002E6AF8" w:rsidP="002E6AF8">
      <w:pPr>
        <w:pStyle w:val="Para1"/>
      </w:pPr>
      <w:r>
        <w:t xml:space="preserve">Council </w:t>
      </w:r>
      <w:r w:rsidR="00D44FCD">
        <w:t>argues</w:t>
      </w:r>
      <w:r>
        <w:t xml:space="preserve"> the development does not adequately satisfy the requirements of Clause 52.06 with regard to car parking and vehicle access.  </w:t>
      </w:r>
      <w:r w:rsidR="00E92A1F">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408B7">
        <w:t>It</w:t>
      </w:r>
      <w:r w:rsidR="00217A8A">
        <w:t xml:space="preserve"> acknowledges </w:t>
      </w:r>
      <w:r w:rsidR="001408B7">
        <w:t xml:space="preserve">that </w:t>
      </w:r>
      <w:r w:rsidR="00217A8A">
        <w:t xml:space="preserve">the provision of a single garage satisfies the </w:t>
      </w:r>
      <w:r w:rsidR="001408B7">
        <w:t xml:space="preserve">scheme </w:t>
      </w:r>
      <w:r w:rsidR="00217A8A">
        <w:t>requirements for a two bedroom dwelling</w:t>
      </w:r>
      <w:r w:rsidR="001408B7">
        <w:t xml:space="preserve"> but </w:t>
      </w:r>
      <w:r w:rsidR="00217A8A">
        <w:t xml:space="preserve">is concerned there is the potential </w:t>
      </w:r>
      <w:r w:rsidR="001408B7">
        <w:t>for the</w:t>
      </w:r>
      <w:r w:rsidR="00217A8A">
        <w:t xml:space="preserve"> ground floor living room to </w:t>
      </w:r>
      <w:r w:rsidR="001408B7">
        <w:t xml:space="preserve">be converted </w:t>
      </w:r>
      <w:r w:rsidR="00217A8A">
        <w:t>an additional bedroom.</w:t>
      </w:r>
    </w:p>
    <w:p w:rsidR="00217A8A" w:rsidRDefault="00217A8A" w:rsidP="002E6AF8">
      <w:pPr>
        <w:pStyle w:val="Para1"/>
      </w:pPr>
      <w:r>
        <w:t xml:space="preserve">The plans show the garage is setback 4 metres from Imperial Avenue and </w:t>
      </w:r>
      <w:r w:rsidR="00D44FCD">
        <w:t>there is</w:t>
      </w:r>
      <w:r>
        <w:t xml:space="preserve"> no potential to park a </w:t>
      </w:r>
      <w:r w:rsidR="009E1FCF">
        <w:t>car</w:t>
      </w:r>
      <w:r>
        <w:t xml:space="preserve"> in the driveway</w:t>
      </w:r>
      <w:r w:rsidR="001408B7">
        <w:t xml:space="preserve"> without the vehicle overhanging the pavement</w:t>
      </w:r>
      <w:r>
        <w:t>.</w:t>
      </w:r>
    </w:p>
    <w:p w:rsidR="00217A8A" w:rsidRDefault="00217A8A" w:rsidP="002E6AF8">
      <w:pPr>
        <w:pStyle w:val="Para1"/>
      </w:pPr>
      <w:r>
        <w:t xml:space="preserve">I agree with the applicant that it is unreasonable to assume the applicant will act against what is allowed </w:t>
      </w:r>
      <w:r w:rsidR="00580522">
        <w:t>in</w:t>
      </w:r>
      <w:r>
        <w:t xml:space="preserve"> the permit</w:t>
      </w:r>
      <w:r w:rsidR="00037B8F">
        <w:t>.</w:t>
      </w:r>
      <w:r>
        <w:t xml:space="preserve"> </w:t>
      </w:r>
    </w:p>
    <w:p w:rsidR="00C6629F" w:rsidRDefault="00C6629F" w:rsidP="00C6629F">
      <w:pPr>
        <w:pStyle w:val="Heading2"/>
      </w:pPr>
      <w:r>
        <w:t>conditions</w:t>
      </w:r>
    </w:p>
    <w:p w:rsidR="00C6629F" w:rsidRDefault="00C6629F" w:rsidP="00C6629F">
      <w:pPr>
        <w:pStyle w:val="Para1"/>
      </w:pPr>
      <w:r>
        <w:t>Other conditions were discussed at the hearing and any changes to the permit conditions contained in Appendix A of this order reflect those discussions plus further consideration by the Tribunal.</w:t>
      </w:r>
    </w:p>
    <w:p w:rsidR="00E200CF" w:rsidRDefault="00E200CF" w:rsidP="00BB23E3">
      <w:pPr>
        <w:pStyle w:val="Heading3"/>
      </w:pPr>
      <w:r>
        <w:t>Conclusion</w:t>
      </w:r>
    </w:p>
    <w:p w:rsidR="00E200CF" w:rsidRPr="000421A8" w:rsidRDefault="00E200CF" w:rsidP="00E200CF">
      <w:pPr>
        <w:pStyle w:val="Para1"/>
      </w:pPr>
      <w:r w:rsidRPr="000421A8">
        <w:t xml:space="preserve">For the reasons given above, the decision of the </w:t>
      </w:r>
      <w:r w:rsidR="002563BE" w:rsidRPr="000421A8">
        <w:t xml:space="preserve">responsible authority </w:t>
      </w:r>
      <w:r w:rsidRPr="000421A8">
        <w:t>is set aside.  A permit is granted subject to conditions.</w:t>
      </w:r>
    </w:p>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423"/>
        <w:gridCol w:w="1659"/>
        <w:gridCol w:w="3423"/>
      </w:tblGrid>
      <w:tr w:rsidR="00E200CF" w:rsidTr="00EB703D">
        <w:tc>
          <w:tcPr>
            <w:tcW w:w="2012" w:type="pct"/>
          </w:tcPr>
          <w:p w:rsidR="00E200CF" w:rsidRPr="00B876A2" w:rsidRDefault="00C21BA7" w:rsidP="00EB703D">
            <w:pPr>
              <w:rPr>
                <w:b/>
              </w:rPr>
            </w:pPr>
            <w:r w:rsidRPr="00C21BA7">
              <w:rPr>
                <w:b/>
              </w:rPr>
              <w:t>Jane Tait</w:t>
            </w:r>
          </w:p>
          <w:p w:rsidR="00E200CF" w:rsidRDefault="00E200CF" w:rsidP="00EB703D">
            <w:pPr>
              <w:tabs>
                <w:tab w:val="left" w:pos="1515"/>
              </w:tabs>
              <w:rPr>
                <w:b/>
              </w:rPr>
            </w:pPr>
            <w:r>
              <w:rPr>
                <w:b/>
              </w:rPr>
              <w:t>Member</w:t>
            </w:r>
          </w:p>
        </w:tc>
        <w:tc>
          <w:tcPr>
            <w:tcW w:w="975" w:type="pct"/>
          </w:tcPr>
          <w:p w:rsidR="00E200CF" w:rsidRDefault="00E200CF" w:rsidP="00EB703D"/>
        </w:tc>
        <w:tc>
          <w:tcPr>
            <w:tcW w:w="2012" w:type="pct"/>
          </w:tcPr>
          <w:p w:rsidR="00E200CF" w:rsidRDefault="00E200CF" w:rsidP="00EB703D"/>
        </w:tc>
      </w:tr>
    </w:tbl>
    <w:p w:rsidR="00E200CF" w:rsidRDefault="00E200CF" w:rsidP="00E200CF"/>
    <w:p w:rsidR="00E200CF" w:rsidRDefault="00E200CF" w:rsidP="00E200CF">
      <w:r>
        <w:br w:type="page"/>
      </w:r>
    </w:p>
    <w:p w:rsidR="00E200CF" w:rsidRDefault="00E92A1F" w:rsidP="00E200CF">
      <w:pPr>
        <w:pStyle w:val="Heading1"/>
      </w:pPr>
      <w:r>
        <w:rPr>
          <w:noProof/>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rsidTr="00EB703D">
        <w:tc>
          <w:tcPr>
            <w:tcW w:w="3731" w:type="dxa"/>
            <w:shd w:val="clear" w:color="auto" w:fill="auto"/>
          </w:tcPr>
          <w:p w:rsidR="00E200CF" w:rsidRDefault="00E200CF" w:rsidP="00EB703D">
            <w:pPr>
              <w:pStyle w:val="TitlePage2"/>
            </w:pPr>
            <w:r>
              <w:t>Permit Application No</w:t>
            </w:r>
          </w:p>
        </w:tc>
        <w:tc>
          <w:tcPr>
            <w:tcW w:w="4774" w:type="dxa"/>
            <w:shd w:val="clear" w:color="auto" w:fill="auto"/>
          </w:tcPr>
          <w:p w:rsidR="00E200CF" w:rsidRDefault="00DE3043" w:rsidP="00EB703D">
            <w:pPr>
              <w:pStyle w:val="TitlePagetext"/>
            </w:pPr>
            <w:r w:rsidRPr="00DE3043">
              <w:t>TPA/48580</w:t>
            </w:r>
          </w:p>
        </w:tc>
      </w:tr>
      <w:tr w:rsidR="00E200CF" w:rsidTr="00EB703D">
        <w:tc>
          <w:tcPr>
            <w:tcW w:w="3731" w:type="dxa"/>
            <w:shd w:val="clear" w:color="auto" w:fill="auto"/>
          </w:tcPr>
          <w:p w:rsidR="00E200CF" w:rsidRDefault="00E200CF" w:rsidP="00EB703D">
            <w:pPr>
              <w:pStyle w:val="TitlePage2"/>
            </w:pPr>
            <w:r>
              <w:t>Land</w:t>
            </w:r>
          </w:p>
        </w:tc>
        <w:tc>
          <w:tcPr>
            <w:tcW w:w="4774" w:type="dxa"/>
            <w:shd w:val="clear" w:color="auto" w:fill="auto"/>
          </w:tcPr>
          <w:p w:rsidR="00E200CF" w:rsidRDefault="00C21BA7" w:rsidP="0052561A">
            <w:pPr>
              <w:pStyle w:val="TitlePagetext"/>
            </w:pPr>
            <w:r>
              <w:t>312 Huntingdale Road</w:t>
            </w:r>
            <w:r w:rsidR="0052561A">
              <w:t xml:space="preserve">, Mount Waverley </w:t>
            </w:r>
          </w:p>
        </w:tc>
      </w:tr>
    </w:tbl>
    <w:p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rsidTr="00EB703D">
        <w:tc>
          <w:tcPr>
            <w:tcW w:w="8505" w:type="dxa"/>
            <w:shd w:val="clear" w:color="auto" w:fill="auto"/>
          </w:tcPr>
          <w:p w:rsidR="00E200CF" w:rsidRPr="000421A8" w:rsidRDefault="00E200CF" w:rsidP="00EB703D">
            <w:pPr>
              <w:pStyle w:val="TitlePage2"/>
              <w:jc w:val="center"/>
              <w:rPr>
                <w:bCs/>
              </w:rPr>
            </w:pPr>
            <w:r w:rsidRPr="000421A8">
              <w:rPr>
                <w:bCs/>
              </w:rPr>
              <w:t>What the permit allowS</w:t>
            </w:r>
          </w:p>
        </w:tc>
      </w:tr>
      <w:tr w:rsidR="00E200CF" w:rsidTr="00EB703D">
        <w:tc>
          <w:tcPr>
            <w:tcW w:w="8505" w:type="dxa"/>
            <w:shd w:val="clear" w:color="auto" w:fill="auto"/>
          </w:tcPr>
          <w:p w:rsidR="00E200CF" w:rsidRPr="000421A8" w:rsidRDefault="00E200CF" w:rsidP="00EB703D">
            <w:pPr>
              <w:pStyle w:val="Order1"/>
            </w:pPr>
            <w:r w:rsidRPr="000421A8">
              <w:t>In accordance with the endorsed plans:</w:t>
            </w:r>
          </w:p>
          <w:p w:rsidR="00E200CF" w:rsidRPr="000421A8" w:rsidRDefault="000421A8" w:rsidP="00040BA8">
            <w:pPr>
              <w:pStyle w:val="Para5"/>
            </w:pPr>
            <w:r w:rsidRPr="000421A8">
              <w:t>Development of three dwellings</w:t>
            </w:r>
            <w:r w:rsidR="00E200CF" w:rsidRPr="000421A8">
              <w:t>;</w:t>
            </w:r>
          </w:p>
        </w:tc>
      </w:tr>
    </w:tbl>
    <w:p w:rsidR="00E200CF" w:rsidRDefault="00E200CF" w:rsidP="00E200CF"/>
    <w:p w:rsidR="00E200CF" w:rsidRDefault="00E200CF" w:rsidP="00E200CF">
      <w:pPr>
        <w:pStyle w:val="Heading2"/>
      </w:pPr>
      <w:r>
        <w:t>Conditions</w:t>
      </w:r>
    </w:p>
    <w:p w:rsidR="002B4EA2" w:rsidRPr="007C0503" w:rsidRDefault="002B4EA2" w:rsidP="002B4EA2">
      <w:pPr>
        <w:pStyle w:val="Condition2"/>
      </w:pPr>
      <w:r w:rsidRPr="007C0503">
        <w:rPr>
          <w:lang w:val="en-US"/>
        </w:rPr>
        <w:t xml:space="preserve">Before the development starts, </w:t>
      </w:r>
      <w:r w:rsidRPr="007C0503">
        <w:t xml:space="preserve">three copies of amended plans drawn to scale and dimensioned, must be submitted to and approved by the </w:t>
      </w:r>
      <w:r w:rsidR="001E09F5">
        <w:t>r</w:t>
      </w:r>
      <w:r w:rsidRPr="007C0503">
        <w:t xml:space="preserve">esponsible </w:t>
      </w:r>
      <w:r w:rsidR="001E09F5">
        <w:t>a</w:t>
      </w:r>
      <w:r w:rsidRPr="007C0503">
        <w:t>uthority.  The submitted plans must clearly delineate and highlight any changes.  When approved the plans will be endorsed and will then form part of the permit.  The plans must be generally in accordance with the advertised plans but modified to show:</w:t>
      </w:r>
    </w:p>
    <w:p w:rsidR="002B4EA2" w:rsidRPr="007C0503" w:rsidRDefault="002B4EA2" w:rsidP="002B4EA2">
      <w:pPr>
        <w:pStyle w:val="Condition2"/>
        <w:numPr>
          <w:ilvl w:val="1"/>
          <w:numId w:val="7"/>
        </w:numPr>
        <w:rPr>
          <w:rFonts w:eastAsia="Calibri"/>
          <w:lang w:eastAsia="en-AU"/>
        </w:rPr>
      </w:pPr>
      <w:r w:rsidRPr="007C0503">
        <w:rPr>
          <w:rFonts w:eastAsia="Calibri"/>
          <w:lang w:eastAsia="en-AU"/>
        </w:rPr>
        <w:t xml:space="preserve">Conversion of the two separate vehicle crossings serving dwellings 1 and 2 into a double width crossing. </w:t>
      </w:r>
    </w:p>
    <w:p w:rsidR="002B4EA2" w:rsidRPr="007C0503" w:rsidRDefault="002B4EA2" w:rsidP="002B4EA2">
      <w:pPr>
        <w:pStyle w:val="Condition2"/>
        <w:numPr>
          <w:ilvl w:val="1"/>
          <w:numId w:val="7"/>
        </w:numPr>
        <w:rPr>
          <w:rFonts w:eastAsia="Calibri"/>
          <w:lang w:eastAsia="en-AU"/>
        </w:rPr>
      </w:pPr>
      <w:r w:rsidRPr="007C0503">
        <w:rPr>
          <w:rFonts w:eastAsia="Calibri"/>
          <w:lang w:eastAsia="en-AU"/>
        </w:rPr>
        <w:t>Removal of the notations on the ground floor plan that refer to relocation of the existing street tree between the crossovers serving dwellings 1 and 2.</w:t>
      </w:r>
    </w:p>
    <w:p w:rsidR="002B4EA2" w:rsidRPr="007C0503" w:rsidRDefault="002B4EA2" w:rsidP="002B4EA2">
      <w:pPr>
        <w:pStyle w:val="Condition2"/>
        <w:numPr>
          <w:ilvl w:val="1"/>
          <w:numId w:val="7"/>
        </w:numPr>
        <w:rPr>
          <w:rFonts w:eastAsia="Calibri"/>
          <w:lang w:eastAsia="en-AU"/>
        </w:rPr>
      </w:pPr>
      <w:r w:rsidRPr="007C0503">
        <w:rPr>
          <w:lang w:eastAsia="en-AU"/>
        </w:rPr>
        <w:t>The Tree Protection Zone (TPZ) and Structural Root Zone (SRZ) of Tree No</w:t>
      </w:r>
      <w:hyperlink r:id="rId9" w:history="1">
        <w:r w:rsidRPr="007C0503">
          <w:rPr>
            <w:lang w:eastAsia="en-AU"/>
          </w:rPr>
          <w:t>s</w:t>
        </w:r>
        <w:r w:rsidR="001E09F5">
          <w:rPr>
            <w:lang w:eastAsia="en-AU"/>
          </w:rPr>
          <w:t>.</w:t>
        </w:r>
        <w:r w:rsidRPr="007C0503">
          <w:rPr>
            <w:lang w:eastAsia="en-AU"/>
          </w:rPr>
          <w:t xml:space="preserve"> 6 and 8 within the Huntingdale Road front setback, </w:t>
        </w:r>
      </w:hyperlink>
      <w:r w:rsidRPr="007C0503">
        <w:rPr>
          <w:lang w:eastAsia="en-AU"/>
        </w:rPr>
        <w:t xml:space="preserve">as per the Tree </w:t>
      </w:r>
      <w:r w:rsidRPr="007C0503">
        <w:rPr>
          <w:rFonts w:eastAsia="Calibri"/>
          <w:lang w:eastAsia="en-AU"/>
        </w:rPr>
        <w:t xml:space="preserve">Arboricultural Impact Assessment prepared by Treemendous Consulting Pty Ltd dated 21 March 2018. </w:t>
      </w:r>
    </w:p>
    <w:p w:rsidR="002B4EA2" w:rsidRPr="007C0503" w:rsidRDefault="002B4EA2" w:rsidP="002B4EA2">
      <w:pPr>
        <w:pStyle w:val="Condition2"/>
        <w:numPr>
          <w:ilvl w:val="1"/>
          <w:numId w:val="7"/>
        </w:numPr>
        <w:rPr>
          <w:rFonts w:eastAsia="Calibri"/>
          <w:lang w:eastAsia="en-AU"/>
        </w:rPr>
      </w:pPr>
      <w:r w:rsidRPr="007C0503">
        <w:rPr>
          <w:lang w:eastAsia="en-AU"/>
        </w:rPr>
        <w:t xml:space="preserve">The </w:t>
      </w:r>
      <w:r w:rsidRPr="007C0503">
        <w:rPr>
          <w:rFonts w:eastAsia="Calibri"/>
          <w:lang w:eastAsia="en-AU"/>
        </w:rPr>
        <w:t>changes (if any) required by Condition 5(a).</w:t>
      </w:r>
    </w:p>
    <w:p w:rsidR="002B4EA2" w:rsidRPr="007C0503" w:rsidRDefault="002A7382" w:rsidP="002B4EA2">
      <w:pPr>
        <w:pStyle w:val="Condition2"/>
        <w:numPr>
          <w:ilvl w:val="1"/>
          <w:numId w:val="7"/>
        </w:numPr>
        <w:rPr>
          <w:rFonts w:eastAsia="Calibri"/>
          <w:lang w:eastAsia="en-AU"/>
        </w:rPr>
      </w:pPr>
      <w:r>
        <w:rPr>
          <w:rFonts w:eastAsia="Calibri"/>
          <w:lang w:eastAsia="en-AU"/>
        </w:rPr>
        <w:t>Details of the timber-look slats to the f</w:t>
      </w:r>
      <w:r w:rsidR="002B4EA2" w:rsidRPr="007C0503">
        <w:rPr>
          <w:rFonts w:eastAsia="Calibri"/>
          <w:lang w:eastAsia="en-AU"/>
        </w:rPr>
        <w:t xml:space="preserve">irst floor north and south facing windows located within the sections of walls described as “aluminium slat look screening” clearly shown on the elevations. </w:t>
      </w:r>
      <w:r>
        <w:rPr>
          <w:rFonts w:eastAsia="Calibri"/>
          <w:lang w:eastAsia="en-AU"/>
        </w:rPr>
        <w:t xml:space="preserve"> The window</w:t>
      </w:r>
      <w:r w:rsidR="009E1FCF">
        <w:rPr>
          <w:rFonts w:eastAsia="Calibri"/>
          <w:lang w:eastAsia="en-AU"/>
        </w:rPr>
        <w:t>s are</w:t>
      </w:r>
      <w:r>
        <w:rPr>
          <w:rFonts w:eastAsia="Calibri"/>
          <w:lang w:eastAsia="en-AU"/>
        </w:rPr>
        <w:t xml:space="preserve"> to be visible through the slats. </w:t>
      </w:r>
    </w:p>
    <w:p w:rsidR="002B4EA2" w:rsidRDefault="002B4EA2" w:rsidP="002B4EA2">
      <w:pPr>
        <w:pStyle w:val="Condition2"/>
        <w:numPr>
          <w:ilvl w:val="1"/>
          <w:numId w:val="7"/>
        </w:numPr>
        <w:rPr>
          <w:rFonts w:eastAsia="Calibri"/>
          <w:lang w:eastAsia="en-AU"/>
        </w:rPr>
      </w:pPr>
      <w:r w:rsidRPr="007C0503">
        <w:rPr>
          <w:rFonts w:eastAsia="Calibri"/>
          <w:lang w:eastAsia="en-AU"/>
        </w:rPr>
        <w:t xml:space="preserve">A notation that the external screens to the north facing first floor windows serving </w:t>
      </w:r>
      <w:r w:rsidR="009E1FCF">
        <w:rPr>
          <w:rFonts w:eastAsia="Calibri"/>
          <w:lang w:eastAsia="en-AU"/>
        </w:rPr>
        <w:t>D</w:t>
      </w:r>
      <w:r w:rsidRPr="007C0503">
        <w:rPr>
          <w:rFonts w:eastAsia="Calibri"/>
          <w:lang w:eastAsia="en-AU"/>
        </w:rPr>
        <w:t xml:space="preserve">welling </w:t>
      </w:r>
      <w:r>
        <w:rPr>
          <w:rFonts w:eastAsia="Calibri"/>
          <w:lang w:eastAsia="en-AU"/>
        </w:rPr>
        <w:t>2</w:t>
      </w:r>
      <w:r w:rsidRPr="007C0503">
        <w:rPr>
          <w:rFonts w:eastAsia="Calibri"/>
          <w:lang w:eastAsia="en-AU"/>
        </w:rPr>
        <w:t xml:space="preserve"> sitting area and </w:t>
      </w:r>
      <w:r w:rsidR="009E1FCF">
        <w:rPr>
          <w:rFonts w:eastAsia="Calibri"/>
          <w:lang w:eastAsia="en-AU"/>
        </w:rPr>
        <w:t>D</w:t>
      </w:r>
      <w:r w:rsidRPr="007C0503">
        <w:rPr>
          <w:rFonts w:eastAsia="Calibri"/>
          <w:lang w:eastAsia="en-AU"/>
        </w:rPr>
        <w:t xml:space="preserve">welling 3 bedroom must be fixed, permanent and no more than 25% transparent.  </w:t>
      </w:r>
    </w:p>
    <w:p w:rsidR="009E1FCF" w:rsidRDefault="00EF50C2" w:rsidP="002A7382">
      <w:pPr>
        <w:pStyle w:val="Condition2"/>
        <w:numPr>
          <w:ilvl w:val="1"/>
          <w:numId w:val="7"/>
        </w:numPr>
        <w:rPr>
          <w:rFonts w:eastAsia="Calibri"/>
          <w:lang w:eastAsia="en-AU"/>
        </w:rPr>
      </w:pPr>
      <w:r w:rsidRPr="00EF50C2">
        <w:rPr>
          <w:rFonts w:eastAsia="Calibri"/>
          <w:lang w:eastAsia="en-AU"/>
        </w:rPr>
        <w:t xml:space="preserve">The removal of the entry porch </w:t>
      </w:r>
      <w:r w:rsidR="009E1FCF" w:rsidRPr="00EF50C2">
        <w:rPr>
          <w:rFonts w:eastAsia="Calibri"/>
          <w:lang w:eastAsia="en-AU"/>
        </w:rPr>
        <w:t xml:space="preserve">for Dwelling 1 </w:t>
      </w:r>
      <w:r w:rsidRPr="00EF50C2">
        <w:rPr>
          <w:rFonts w:eastAsia="Calibri"/>
          <w:lang w:eastAsia="en-AU"/>
        </w:rPr>
        <w:t>in Imperial Avenue</w:t>
      </w:r>
      <w:r w:rsidR="009E1FCF">
        <w:rPr>
          <w:rFonts w:eastAsia="Calibri"/>
          <w:lang w:eastAsia="en-AU"/>
        </w:rPr>
        <w:t xml:space="preserve">.  </w:t>
      </w:r>
    </w:p>
    <w:p w:rsidR="002A7382" w:rsidRPr="00EF50C2" w:rsidRDefault="009E1FCF" w:rsidP="002A7382">
      <w:pPr>
        <w:pStyle w:val="Condition2"/>
        <w:numPr>
          <w:ilvl w:val="1"/>
          <w:numId w:val="7"/>
        </w:numPr>
        <w:rPr>
          <w:rFonts w:eastAsia="Calibri"/>
          <w:lang w:eastAsia="en-AU"/>
        </w:rPr>
      </w:pPr>
      <w:r>
        <w:rPr>
          <w:rFonts w:eastAsia="Calibri"/>
          <w:lang w:eastAsia="en-AU"/>
        </w:rPr>
        <w:t xml:space="preserve">The provision of an entry door and porch in </w:t>
      </w:r>
      <w:r w:rsidR="00D44FCD" w:rsidRPr="00EF50C2">
        <w:rPr>
          <w:rFonts w:eastAsia="Calibri"/>
          <w:lang w:eastAsia="en-AU"/>
        </w:rPr>
        <w:t>the west elevation</w:t>
      </w:r>
      <w:r w:rsidR="002A7382" w:rsidRPr="00EF50C2">
        <w:rPr>
          <w:rFonts w:eastAsia="Calibri"/>
          <w:lang w:eastAsia="en-AU"/>
        </w:rPr>
        <w:t xml:space="preserve"> </w:t>
      </w:r>
      <w:r>
        <w:rPr>
          <w:rFonts w:eastAsia="Calibri"/>
          <w:lang w:eastAsia="en-AU"/>
        </w:rPr>
        <w:t xml:space="preserve">of Dwelling 1 </w:t>
      </w:r>
      <w:r w:rsidR="002A7382" w:rsidRPr="00EF50C2">
        <w:rPr>
          <w:rFonts w:eastAsia="Calibri"/>
          <w:lang w:eastAsia="en-AU"/>
        </w:rPr>
        <w:t xml:space="preserve">with access </w:t>
      </w:r>
      <w:r w:rsidR="00D44FCD" w:rsidRPr="00EF50C2">
        <w:rPr>
          <w:rFonts w:eastAsia="Calibri"/>
          <w:lang w:eastAsia="en-AU"/>
        </w:rPr>
        <w:t>from</w:t>
      </w:r>
      <w:r w:rsidR="002A7382" w:rsidRPr="00EF50C2">
        <w:rPr>
          <w:rFonts w:eastAsia="Calibri"/>
          <w:lang w:eastAsia="en-AU"/>
        </w:rPr>
        <w:t xml:space="preserve"> the living room. </w:t>
      </w:r>
    </w:p>
    <w:p w:rsidR="002A7382" w:rsidRPr="00EF50C2" w:rsidRDefault="002A7382" w:rsidP="002A7382">
      <w:pPr>
        <w:pStyle w:val="Condition2"/>
        <w:numPr>
          <w:ilvl w:val="1"/>
          <w:numId w:val="7"/>
        </w:numPr>
        <w:rPr>
          <w:rFonts w:eastAsia="Calibri"/>
          <w:lang w:eastAsia="en-AU"/>
        </w:rPr>
      </w:pPr>
      <w:r w:rsidRPr="00EF50C2">
        <w:rPr>
          <w:rFonts w:eastAsia="Calibri"/>
          <w:lang w:eastAsia="en-AU"/>
        </w:rPr>
        <w:t xml:space="preserve">The pedestrian path to the front entry for Dwelling 1 </w:t>
      </w:r>
      <w:r w:rsidR="00EF50C2" w:rsidRPr="00EF50C2">
        <w:rPr>
          <w:rFonts w:eastAsia="Calibri"/>
          <w:lang w:eastAsia="en-AU"/>
        </w:rPr>
        <w:t xml:space="preserve">extending </w:t>
      </w:r>
      <w:r w:rsidRPr="00EF50C2">
        <w:rPr>
          <w:rFonts w:eastAsia="Calibri"/>
          <w:lang w:eastAsia="en-AU"/>
        </w:rPr>
        <w:t xml:space="preserve">from the south-west boundary. </w:t>
      </w:r>
    </w:p>
    <w:p w:rsidR="002A7382" w:rsidRPr="00EF50C2" w:rsidRDefault="00E92A1F" w:rsidP="002A7382">
      <w:pPr>
        <w:pStyle w:val="Condition2"/>
        <w:numPr>
          <w:ilvl w:val="1"/>
          <w:numId w:val="7"/>
        </w:numPr>
        <w:rPr>
          <w:rFonts w:eastAsia="Calibri"/>
          <w:lang w:eastAsia="en-AU"/>
        </w:rPr>
      </w:pPr>
      <w:r>
        <w:rPr>
          <w:rFonts w:eastAsia="Calibri"/>
          <w:noProof/>
          <w:lang w:eastAsia="en-AU"/>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7382" w:rsidRPr="00EF50C2">
        <w:rPr>
          <w:rFonts w:eastAsia="Calibri"/>
          <w:lang w:eastAsia="en-AU"/>
        </w:rPr>
        <w:t>Re</w:t>
      </w:r>
      <w:r w:rsidR="009E1FCF">
        <w:rPr>
          <w:rFonts w:eastAsia="Calibri"/>
          <w:lang w:eastAsia="en-AU"/>
        </w:rPr>
        <w:t xml:space="preserve">location </w:t>
      </w:r>
      <w:r w:rsidR="002A7382" w:rsidRPr="00EF50C2">
        <w:rPr>
          <w:rFonts w:eastAsia="Calibri"/>
          <w:lang w:eastAsia="en-AU"/>
        </w:rPr>
        <w:t xml:space="preserve">of the picket and brick fence across the frontage </w:t>
      </w:r>
      <w:r w:rsidR="009E1FCF">
        <w:rPr>
          <w:rFonts w:eastAsia="Calibri"/>
          <w:lang w:eastAsia="en-AU"/>
        </w:rPr>
        <w:t xml:space="preserve">(western) </w:t>
      </w:r>
      <w:r w:rsidR="002A7382" w:rsidRPr="00EF50C2">
        <w:rPr>
          <w:rFonts w:eastAsia="Calibri"/>
          <w:lang w:eastAsia="en-AU"/>
        </w:rPr>
        <w:t xml:space="preserve">setback of Dwelling 1 to accommodate the </w:t>
      </w:r>
      <w:r w:rsidR="009E1FCF">
        <w:rPr>
          <w:rFonts w:eastAsia="Calibri"/>
          <w:lang w:eastAsia="en-AU"/>
        </w:rPr>
        <w:t xml:space="preserve">path and porch entry </w:t>
      </w:r>
      <w:r w:rsidR="002A7382" w:rsidRPr="00EF50C2">
        <w:rPr>
          <w:rFonts w:eastAsia="Calibri"/>
          <w:lang w:eastAsia="en-AU"/>
        </w:rPr>
        <w:t xml:space="preserve">required in Condition 1 </w:t>
      </w:r>
      <w:r w:rsidR="00036E3F">
        <w:rPr>
          <w:rFonts w:eastAsia="Calibri"/>
          <w:lang w:eastAsia="en-AU"/>
        </w:rPr>
        <w:t xml:space="preserve">(h) and </w:t>
      </w:r>
      <w:r w:rsidR="002A7382" w:rsidRPr="00EF50C2">
        <w:rPr>
          <w:rFonts w:eastAsia="Calibri"/>
          <w:lang w:eastAsia="en-AU"/>
        </w:rPr>
        <w:t>(</w:t>
      </w:r>
      <w:r w:rsidR="00036E3F">
        <w:rPr>
          <w:rFonts w:eastAsia="Calibri"/>
          <w:lang w:eastAsia="en-AU"/>
        </w:rPr>
        <w:t>i</w:t>
      </w:r>
      <w:r w:rsidR="002A7382" w:rsidRPr="00EF50C2">
        <w:rPr>
          <w:rFonts w:eastAsia="Calibri"/>
          <w:lang w:eastAsia="en-AU"/>
        </w:rPr>
        <w:t>)</w:t>
      </w:r>
      <w:r w:rsidR="009E1FCF">
        <w:rPr>
          <w:rFonts w:eastAsia="Calibri"/>
          <w:lang w:eastAsia="en-AU"/>
        </w:rPr>
        <w:t>.</w:t>
      </w:r>
    </w:p>
    <w:p w:rsidR="002A7382" w:rsidRPr="00EF50C2" w:rsidRDefault="002A7382" w:rsidP="002A7382">
      <w:pPr>
        <w:pStyle w:val="Condition2"/>
        <w:numPr>
          <w:ilvl w:val="1"/>
          <w:numId w:val="7"/>
        </w:numPr>
        <w:rPr>
          <w:rFonts w:eastAsia="Calibri"/>
          <w:lang w:eastAsia="en-AU"/>
        </w:rPr>
      </w:pPr>
      <w:r w:rsidRPr="00EF50C2">
        <w:rPr>
          <w:rFonts w:eastAsia="Calibri"/>
          <w:lang w:eastAsia="en-AU"/>
        </w:rPr>
        <w:t xml:space="preserve">The </w:t>
      </w:r>
      <w:r w:rsidR="009E1FCF">
        <w:rPr>
          <w:rFonts w:eastAsia="Calibri"/>
          <w:lang w:eastAsia="en-AU"/>
        </w:rPr>
        <w:t xml:space="preserve">conversion of the two </w:t>
      </w:r>
      <w:r w:rsidRPr="00EF50C2">
        <w:rPr>
          <w:rFonts w:eastAsia="Calibri"/>
          <w:lang w:eastAsia="en-AU"/>
        </w:rPr>
        <w:t xml:space="preserve">ground floor west elevation living room windows of Dwelling 1 </w:t>
      </w:r>
      <w:r w:rsidR="009E1FCF">
        <w:rPr>
          <w:rFonts w:eastAsia="Calibri"/>
          <w:lang w:eastAsia="en-AU"/>
        </w:rPr>
        <w:t>in</w:t>
      </w:r>
      <w:r w:rsidRPr="00EF50C2">
        <w:rPr>
          <w:rFonts w:eastAsia="Calibri"/>
          <w:lang w:eastAsia="en-AU"/>
        </w:rPr>
        <w:t xml:space="preserve">to a </w:t>
      </w:r>
      <w:r w:rsidR="009E1FCF">
        <w:rPr>
          <w:rFonts w:eastAsia="Calibri"/>
          <w:lang w:eastAsia="en-AU"/>
        </w:rPr>
        <w:t xml:space="preserve">glazed </w:t>
      </w:r>
      <w:r w:rsidRPr="00EF50C2">
        <w:rPr>
          <w:rFonts w:eastAsia="Calibri"/>
          <w:lang w:eastAsia="en-AU"/>
        </w:rPr>
        <w:t>sliding door.</w:t>
      </w:r>
    </w:p>
    <w:p w:rsidR="009E1FCF" w:rsidRDefault="002A7382" w:rsidP="002A7382">
      <w:pPr>
        <w:pStyle w:val="Condition2"/>
        <w:numPr>
          <w:ilvl w:val="1"/>
          <w:numId w:val="7"/>
        </w:numPr>
        <w:rPr>
          <w:rFonts w:eastAsia="Calibri"/>
          <w:lang w:eastAsia="en-AU"/>
        </w:rPr>
      </w:pPr>
      <w:r w:rsidRPr="00EF50C2">
        <w:rPr>
          <w:rFonts w:eastAsia="Calibri"/>
          <w:lang w:eastAsia="en-AU"/>
        </w:rPr>
        <w:t xml:space="preserve">Relocation of the first floor master bedroom of Dwelling 2 to </w:t>
      </w:r>
      <w:r w:rsidR="009E1FCF">
        <w:rPr>
          <w:rFonts w:eastAsia="Calibri"/>
          <w:lang w:eastAsia="en-AU"/>
        </w:rPr>
        <w:t xml:space="preserve">include a window (without timber slat screening) </w:t>
      </w:r>
      <w:r w:rsidRPr="00EF50C2">
        <w:rPr>
          <w:rFonts w:eastAsia="Calibri"/>
          <w:lang w:eastAsia="en-AU"/>
        </w:rPr>
        <w:t>fac</w:t>
      </w:r>
      <w:r w:rsidR="009E1FCF">
        <w:rPr>
          <w:rFonts w:eastAsia="Calibri"/>
          <w:lang w:eastAsia="en-AU"/>
        </w:rPr>
        <w:t>ing</w:t>
      </w:r>
      <w:r w:rsidRPr="00EF50C2">
        <w:rPr>
          <w:rFonts w:eastAsia="Calibri"/>
          <w:lang w:eastAsia="en-AU"/>
        </w:rPr>
        <w:t xml:space="preserve"> Imperial Avenue</w:t>
      </w:r>
      <w:r w:rsidR="009E1FCF">
        <w:rPr>
          <w:rFonts w:eastAsia="Calibri"/>
          <w:lang w:eastAsia="en-AU"/>
        </w:rPr>
        <w:t>.</w:t>
      </w:r>
    </w:p>
    <w:p w:rsidR="002A7382" w:rsidRPr="00EF50C2" w:rsidRDefault="00036E3F" w:rsidP="002A7382">
      <w:pPr>
        <w:pStyle w:val="Condition2"/>
        <w:numPr>
          <w:ilvl w:val="1"/>
          <w:numId w:val="7"/>
        </w:numPr>
        <w:rPr>
          <w:rFonts w:eastAsia="Calibri"/>
          <w:lang w:eastAsia="en-AU"/>
        </w:rPr>
      </w:pPr>
      <w:r>
        <w:rPr>
          <w:rFonts w:eastAsia="Calibri"/>
          <w:lang w:eastAsia="en-AU"/>
        </w:rPr>
        <w:t>R</w:t>
      </w:r>
      <w:r w:rsidR="009E1FCF">
        <w:rPr>
          <w:rFonts w:eastAsia="Calibri"/>
          <w:lang w:eastAsia="en-AU"/>
        </w:rPr>
        <w:t xml:space="preserve">elocation of the bathroom and robe for the master bedroom of Dwelling 2 to accommodate the </w:t>
      </w:r>
      <w:r>
        <w:rPr>
          <w:rFonts w:eastAsia="Calibri"/>
          <w:lang w:eastAsia="en-AU"/>
        </w:rPr>
        <w:t xml:space="preserve">change in layout required in </w:t>
      </w:r>
      <w:r w:rsidR="009E1FCF">
        <w:rPr>
          <w:rFonts w:eastAsia="Calibri"/>
          <w:lang w:eastAsia="en-AU"/>
        </w:rPr>
        <w:t>Condition 1 (l)</w:t>
      </w:r>
      <w:r w:rsidR="002A7382" w:rsidRPr="00EF50C2">
        <w:rPr>
          <w:rFonts w:eastAsia="Calibri"/>
          <w:lang w:eastAsia="en-AU"/>
        </w:rPr>
        <w:t xml:space="preserve">.  </w:t>
      </w:r>
    </w:p>
    <w:p w:rsidR="002B4EA2" w:rsidRPr="007C0503" w:rsidRDefault="002B4EA2" w:rsidP="002B4EA2">
      <w:pPr>
        <w:pStyle w:val="Heading3"/>
      </w:pPr>
      <w:r w:rsidRPr="007C0503">
        <w:t>No Alteration or Changes</w:t>
      </w:r>
    </w:p>
    <w:p w:rsidR="002B4EA2" w:rsidRPr="007C0503" w:rsidRDefault="002B4EA2" w:rsidP="002B4EA2">
      <w:pPr>
        <w:pStyle w:val="Condition2"/>
        <w:rPr>
          <w:lang w:eastAsia="en-AU"/>
        </w:rPr>
      </w:pPr>
      <w:r w:rsidRPr="007C0503">
        <w:rPr>
          <w:lang w:eastAsia="en-AU"/>
        </w:rPr>
        <w:t xml:space="preserve">The development as shown on the endorsed plans must not be altered without the written consent of the Responsible Authority. </w:t>
      </w:r>
    </w:p>
    <w:p w:rsidR="002B4EA2" w:rsidRPr="007C0503" w:rsidRDefault="002B4EA2" w:rsidP="002B4EA2">
      <w:pPr>
        <w:pStyle w:val="Heading3"/>
      </w:pPr>
      <w:r w:rsidRPr="007C0503">
        <w:t>Completion of Buildings and Works</w:t>
      </w:r>
    </w:p>
    <w:p w:rsidR="002B4EA2" w:rsidRPr="007C0503" w:rsidRDefault="002B4EA2" w:rsidP="002B4EA2">
      <w:pPr>
        <w:pStyle w:val="Condition2"/>
        <w:rPr>
          <w:rFonts w:eastAsia="Calibri"/>
          <w:lang w:eastAsia="en-AU"/>
        </w:rPr>
      </w:pPr>
      <w:r w:rsidRPr="007C0503">
        <w:rPr>
          <w:rFonts w:eastAsia="Calibri"/>
          <w:lang w:eastAsia="en-AU"/>
        </w:rPr>
        <w:t xml:space="preserve">Once the development has started it must be continued and completed to the satisfaction of the </w:t>
      </w:r>
      <w:r w:rsidR="001E09F5">
        <w:rPr>
          <w:rFonts w:eastAsia="Calibri"/>
          <w:lang w:eastAsia="en-AU"/>
        </w:rPr>
        <w:t>r</w:t>
      </w:r>
      <w:r w:rsidRPr="007C0503">
        <w:rPr>
          <w:rFonts w:eastAsia="Calibri"/>
          <w:lang w:eastAsia="en-AU"/>
        </w:rPr>
        <w:t xml:space="preserve">esponsible </w:t>
      </w:r>
      <w:r w:rsidR="001E09F5">
        <w:rPr>
          <w:rFonts w:eastAsia="Calibri"/>
          <w:lang w:eastAsia="en-AU"/>
        </w:rPr>
        <w:t>a</w:t>
      </w:r>
      <w:r w:rsidRPr="007C0503">
        <w:rPr>
          <w:rFonts w:eastAsia="Calibri"/>
          <w:lang w:eastAsia="en-AU"/>
        </w:rPr>
        <w:t>uthority.</w:t>
      </w:r>
    </w:p>
    <w:p w:rsidR="002B4EA2" w:rsidRPr="007C0503" w:rsidRDefault="002B4EA2" w:rsidP="002B4EA2">
      <w:pPr>
        <w:pStyle w:val="Heading3"/>
      </w:pPr>
      <w:r w:rsidRPr="007C0503">
        <w:t xml:space="preserve">Street </w:t>
      </w:r>
      <w:r w:rsidR="001E09F5">
        <w:t>T</w:t>
      </w:r>
      <w:r w:rsidRPr="007C0503">
        <w:t xml:space="preserve">ree </w:t>
      </w:r>
    </w:p>
    <w:p w:rsidR="002B4EA2" w:rsidRPr="007C0503" w:rsidRDefault="002B4EA2" w:rsidP="002B4EA2">
      <w:pPr>
        <w:pStyle w:val="Condition2"/>
        <w:rPr>
          <w:rFonts w:eastAsia="Calibri"/>
          <w:lang w:eastAsia="en-AU"/>
        </w:rPr>
      </w:pPr>
      <w:r w:rsidRPr="007C0503">
        <w:rPr>
          <w:rFonts w:eastAsia="Calibri"/>
          <w:lang w:eastAsia="en-AU"/>
        </w:rPr>
        <w:t>Prior to the commencement of a</w:t>
      </w:r>
      <w:r w:rsidRPr="007C0503">
        <w:rPr>
          <w:rFonts w:eastAsia="Calibri"/>
        </w:rPr>
        <w:t>ny works an offset cost</w:t>
      </w:r>
      <w:r w:rsidRPr="007C0503">
        <w:rPr>
          <w:rFonts w:eastAsia="Calibri"/>
          <w:lang w:eastAsia="en-AU"/>
        </w:rPr>
        <w:t xml:space="preserve"> must be paid to the </w:t>
      </w:r>
      <w:r w:rsidR="001E09F5">
        <w:rPr>
          <w:rFonts w:eastAsia="Calibri"/>
          <w:lang w:eastAsia="en-AU"/>
        </w:rPr>
        <w:t>r</w:t>
      </w:r>
      <w:r w:rsidRPr="007C0503">
        <w:rPr>
          <w:rFonts w:eastAsia="Calibri"/>
          <w:lang w:eastAsia="en-AU"/>
        </w:rPr>
        <w:t xml:space="preserve">esponsible </w:t>
      </w:r>
      <w:r w:rsidR="001E09F5">
        <w:rPr>
          <w:rFonts w:eastAsia="Calibri"/>
          <w:lang w:eastAsia="en-AU"/>
        </w:rPr>
        <w:t>a</w:t>
      </w:r>
      <w:r w:rsidRPr="007C0503">
        <w:rPr>
          <w:rFonts w:eastAsia="Calibri"/>
          <w:lang w:eastAsia="en-AU"/>
        </w:rPr>
        <w:t xml:space="preserve">uthority by the permit holder for the removal of the westernmost </w:t>
      </w:r>
      <w:r w:rsidRPr="007C0503">
        <w:rPr>
          <w:rFonts w:eastAsia="Calibri"/>
        </w:rPr>
        <w:t xml:space="preserve">street tree </w:t>
      </w:r>
      <w:r w:rsidRPr="007C0503">
        <w:rPr>
          <w:rFonts w:eastAsia="Calibri"/>
          <w:lang w:eastAsia="en-AU"/>
        </w:rPr>
        <w:t xml:space="preserve">within the Imperial Avenue frontage </w:t>
      </w:r>
      <w:r w:rsidRPr="007C0503">
        <w:rPr>
          <w:rFonts w:eastAsia="Calibri"/>
        </w:rPr>
        <w:t>(</w:t>
      </w:r>
      <w:r w:rsidRPr="007C0503">
        <w:rPr>
          <w:rFonts w:eastAsia="Calibri"/>
          <w:i/>
          <w:iCs/>
          <w:lang w:eastAsia="en-AU"/>
        </w:rPr>
        <w:t>Melaleuca linariifolia</w:t>
      </w:r>
      <w:r w:rsidRPr="007C0503">
        <w:rPr>
          <w:rFonts w:eastAsia="Calibri"/>
        </w:rPr>
        <w:t xml:space="preserve">) </w:t>
      </w:r>
      <w:r w:rsidRPr="007C0503">
        <w:rPr>
          <w:rFonts w:eastAsia="Calibri"/>
          <w:lang w:eastAsia="en-AU"/>
        </w:rPr>
        <w:t>and the planting/</w:t>
      </w:r>
      <w:r w:rsidRPr="007C0503">
        <w:rPr>
          <w:rFonts w:eastAsia="Calibri"/>
        </w:rPr>
        <w:t xml:space="preserve">establishment </w:t>
      </w:r>
      <w:r w:rsidRPr="007C0503">
        <w:rPr>
          <w:rFonts w:eastAsia="Calibri"/>
          <w:lang w:eastAsia="en-AU"/>
        </w:rPr>
        <w:t xml:space="preserve">of a new street tree </w:t>
      </w:r>
      <w:r w:rsidRPr="007C0503">
        <w:rPr>
          <w:rFonts w:eastAsia="Calibri"/>
        </w:rPr>
        <w:t>i</w:t>
      </w:r>
      <w:r w:rsidRPr="007C0503">
        <w:rPr>
          <w:rFonts w:eastAsia="Calibri"/>
          <w:lang w:eastAsia="en-AU"/>
        </w:rPr>
        <w:t xml:space="preserve">n a suitable location. </w:t>
      </w:r>
      <w:r w:rsidRPr="007C0503">
        <w:rPr>
          <w:rFonts w:eastAsia="Calibri"/>
        </w:rPr>
        <w:t xml:space="preserve">Upon request </w:t>
      </w:r>
      <w:r w:rsidRPr="007C0503">
        <w:rPr>
          <w:rFonts w:eastAsia="Calibri"/>
          <w:lang w:eastAsia="en-AU"/>
        </w:rPr>
        <w:t xml:space="preserve">to the </w:t>
      </w:r>
      <w:r w:rsidR="001E09F5">
        <w:rPr>
          <w:rFonts w:eastAsia="Calibri"/>
          <w:lang w:eastAsia="en-AU"/>
        </w:rPr>
        <w:t>r</w:t>
      </w:r>
      <w:r w:rsidRPr="007C0503">
        <w:rPr>
          <w:rFonts w:eastAsia="Calibri"/>
          <w:lang w:eastAsia="en-AU"/>
        </w:rPr>
        <w:t xml:space="preserve">esponsible </w:t>
      </w:r>
      <w:r w:rsidR="001E09F5">
        <w:rPr>
          <w:rFonts w:eastAsia="Calibri"/>
          <w:lang w:eastAsia="en-AU"/>
        </w:rPr>
        <w:t>a</w:t>
      </w:r>
      <w:r w:rsidRPr="007C0503">
        <w:rPr>
          <w:rFonts w:eastAsia="Calibri"/>
          <w:lang w:eastAsia="en-AU"/>
        </w:rPr>
        <w:t xml:space="preserve">uthority </w:t>
      </w:r>
      <w:r w:rsidRPr="007C0503">
        <w:rPr>
          <w:rFonts w:eastAsia="Calibri"/>
        </w:rPr>
        <w:t xml:space="preserve">an inspection of the street tree will be conducted and a determination of the offset cost </w:t>
      </w:r>
      <w:r w:rsidRPr="007C0503">
        <w:rPr>
          <w:rFonts w:eastAsia="Calibri"/>
          <w:lang w:eastAsia="en-AU"/>
        </w:rPr>
        <w:t xml:space="preserve">will be </w:t>
      </w:r>
      <w:r w:rsidRPr="007C0503">
        <w:rPr>
          <w:rFonts w:eastAsia="Calibri"/>
        </w:rPr>
        <w:t>provided.</w:t>
      </w:r>
    </w:p>
    <w:p w:rsidR="002B4EA2" w:rsidRPr="007C0503" w:rsidRDefault="002B4EA2" w:rsidP="002B4EA2">
      <w:pPr>
        <w:pStyle w:val="Heading3"/>
        <w:rPr>
          <w:lang w:eastAsia="en-AU"/>
        </w:rPr>
      </w:pPr>
      <w:r w:rsidRPr="007C0503">
        <w:rPr>
          <w:lang w:eastAsia="en-AU"/>
        </w:rPr>
        <w:t>Tree Management Plan </w:t>
      </w:r>
    </w:p>
    <w:p w:rsidR="002B4EA2" w:rsidRPr="007C0503" w:rsidRDefault="002B4EA2" w:rsidP="002B4EA2">
      <w:pPr>
        <w:pStyle w:val="Condition2"/>
        <w:rPr>
          <w:lang w:eastAsia="en-AU"/>
        </w:rPr>
      </w:pPr>
      <w:bookmarkStart w:id="20" w:name="Heading181"/>
      <w:bookmarkEnd w:id="20"/>
      <w:r w:rsidRPr="007C0503">
        <w:rPr>
          <w:lang w:eastAsia="en-AU"/>
        </w:rPr>
        <w:t xml:space="preserve">Before the commencement of the development (including demolition) a </w:t>
      </w:r>
      <w:r w:rsidRPr="007C0503">
        <w:rPr>
          <w:bCs/>
          <w:lang w:eastAsia="en-AU"/>
        </w:rPr>
        <w:t>Tree Management Plan</w:t>
      </w:r>
      <w:r w:rsidRPr="007C0503">
        <w:rPr>
          <w:lang w:eastAsia="en-AU"/>
        </w:rPr>
        <w:t xml:space="preserve">, prepared by a qualified Arborist, must be submitted to and approved by the </w:t>
      </w:r>
      <w:r w:rsidR="001E09F5">
        <w:rPr>
          <w:lang w:eastAsia="en-AU"/>
        </w:rPr>
        <w:t>r</w:t>
      </w:r>
      <w:r w:rsidRPr="007C0503">
        <w:rPr>
          <w:lang w:eastAsia="en-AU"/>
        </w:rPr>
        <w:t xml:space="preserve">esponsible </w:t>
      </w:r>
      <w:r w:rsidR="001E09F5">
        <w:rPr>
          <w:lang w:eastAsia="en-AU"/>
        </w:rPr>
        <w:t>a</w:t>
      </w:r>
      <w:r w:rsidRPr="007C0503">
        <w:rPr>
          <w:lang w:eastAsia="en-AU"/>
        </w:rPr>
        <w:t xml:space="preserve">uthority. The report and plan must be to the satisfaction of the </w:t>
      </w:r>
      <w:r w:rsidR="001E09F5">
        <w:rPr>
          <w:lang w:eastAsia="en-AU"/>
        </w:rPr>
        <w:t>r</w:t>
      </w:r>
      <w:r w:rsidRPr="007C0503">
        <w:rPr>
          <w:lang w:eastAsia="en-AU"/>
        </w:rPr>
        <w:t xml:space="preserve">esponsible </w:t>
      </w:r>
      <w:r w:rsidR="001E09F5">
        <w:rPr>
          <w:lang w:eastAsia="en-AU"/>
        </w:rPr>
        <w:t>a</w:t>
      </w:r>
      <w:r w:rsidRPr="007C0503">
        <w:rPr>
          <w:lang w:eastAsia="en-AU"/>
        </w:rPr>
        <w:t>uthority and must include:</w:t>
      </w:r>
    </w:p>
    <w:p w:rsidR="002B4EA2" w:rsidRPr="007C0503" w:rsidRDefault="002B4EA2" w:rsidP="002B4EA2">
      <w:pPr>
        <w:pStyle w:val="Condition2"/>
        <w:numPr>
          <w:ilvl w:val="1"/>
          <w:numId w:val="7"/>
        </w:numPr>
        <w:rPr>
          <w:lang w:eastAsia="en-AU"/>
        </w:rPr>
      </w:pPr>
      <w:r w:rsidRPr="007C0503">
        <w:rPr>
          <w:lang w:eastAsia="en-AU"/>
        </w:rPr>
        <w:t xml:space="preserve">Changes (if required) to the design, location and siting of the proposed fence within the Huntingdale Road setback area of </w:t>
      </w:r>
      <w:r w:rsidR="001E09F5">
        <w:rPr>
          <w:lang w:eastAsia="en-AU"/>
        </w:rPr>
        <w:t>d</w:t>
      </w:r>
      <w:r w:rsidRPr="007C0503">
        <w:rPr>
          <w:lang w:eastAsia="en-AU"/>
        </w:rPr>
        <w:t>welling 1 and/or any particular construction techniques required for the fence,  to protect Tree Nos</w:t>
      </w:r>
      <w:r w:rsidR="001E09F5">
        <w:rPr>
          <w:lang w:eastAsia="en-AU"/>
        </w:rPr>
        <w:t>.</w:t>
      </w:r>
      <w:r w:rsidRPr="007C0503">
        <w:rPr>
          <w:lang w:eastAsia="en-AU"/>
        </w:rPr>
        <w:t xml:space="preserve"> </w:t>
      </w:r>
      <w:hyperlink r:id="rId10" w:history="1">
        <w:r w:rsidRPr="007C0503">
          <w:rPr>
            <w:lang w:eastAsia="en-AU"/>
          </w:rPr>
          <w:t>3</w:t>
        </w:r>
      </w:hyperlink>
      <w:r w:rsidRPr="007C0503">
        <w:rPr>
          <w:lang w:eastAsia="en-AU"/>
        </w:rPr>
        <w:t xml:space="preserve">, 6 and 8. </w:t>
      </w:r>
    </w:p>
    <w:p w:rsidR="002B4EA2" w:rsidRPr="007C0503" w:rsidRDefault="002B4EA2" w:rsidP="002B4EA2">
      <w:pPr>
        <w:pStyle w:val="Condition2"/>
        <w:numPr>
          <w:ilvl w:val="1"/>
          <w:numId w:val="7"/>
        </w:numPr>
        <w:rPr>
          <w:lang w:eastAsia="en-AU"/>
        </w:rPr>
      </w:pPr>
      <w:r w:rsidRPr="007C0503">
        <w:rPr>
          <w:lang w:eastAsia="en-AU"/>
        </w:rPr>
        <w:t>A management regime for Tree Nos</w:t>
      </w:r>
      <w:r w:rsidR="001E09F5">
        <w:rPr>
          <w:lang w:eastAsia="en-AU"/>
        </w:rPr>
        <w:t>.</w:t>
      </w:r>
      <w:r w:rsidRPr="007C0503">
        <w:rPr>
          <w:lang w:eastAsia="en-AU"/>
        </w:rPr>
        <w:t xml:space="preserve"> 1, 3, 6 and 8 during the demolition, construction and post-construction phases of the development.  Matters to be addressed, as appropriate, may include the location/design of tree protection fencing, mulching/ watering requirements, arborist supervision of works/root pruning and requirements regarding trenching and materials/goods storage.</w:t>
      </w:r>
    </w:p>
    <w:p w:rsidR="002B4EA2" w:rsidRPr="007C0503" w:rsidRDefault="00E92A1F" w:rsidP="002B4EA2">
      <w:pPr>
        <w:pStyle w:val="Condition3"/>
        <w:rPr>
          <w:lang w:eastAsia="en-AU"/>
        </w:rPr>
      </w:pPr>
      <w:r>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4EA2" w:rsidRPr="007C0503">
        <w:t xml:space="preserve">When approved, the </w:t>
      </w:r>
      <w:r w:rsidR="002B4EA2" w:rsidRPr="007C0503">
        <w:rPr>
          <w:bCs/>
        </w:rPr>
        <w:t>Tree Management Plan</w:t>
      </w:r>
      <w:r w:rsidR="00A8790D">
        <w:rPr>
          <w:bCs/>
        </w:rPr>
        <w:t xml:space="preserve"> </w:t>
      </w:r>
      <w:r w:rsidR="002B4EA2" w:rsidRPr="007C0503">
        <w:t xml:space="preserve">will be endorsed and form part of the permit. The tree protection measures outlined in the report must be complied with to the satisfaction of the </w:t>
      </w:r>
      <w:r w:rsidR="001E09F5">
        <w:t>r</w:t>
      </w:r>
      <w:r w:rsidR="002B4EA2" w:rsidRPr="007C0503">
        <w:t xml:space="preserve">esponsible </w:t>
      </w:r>
      <w:r w:rsidR="001E09F5">
        <w:t>a</w:t>
      </w:r>
      <w:r w:rsidR="002B4EA2" w:rsidRPr="007C0503">
        <w:t>uthority.</w:t>
      </w:r>
    </w:p>
    <w:p w:rsidR="002B4EA2" w:rsidRPr="007C0503" w:rsidRDefault="002B4EA2" w:rsidP="002B4EA2">
      <w:pPr>
        <w:pStyle w:val="Heading3"/>
        <w:rPr>
          <w:lang w:val="en-US"/>
        </w:rPr>
      </w:pPr>
      <w:bookmarkStart w:id="21" w:name="Heading220"/>
      <w:bookmarkEnd w:id="21"/>
      <w:r w:rsidRPr="007C0503">
        <w:rPr>
          <w:lang w:val="en-US"/>
        </w:rPr>
        <w:t>Landscape Plan</w:t>
      </w:r>
    </w:p>
    <w:p w:rsidR="002B4EA2" w:rsidRPr="007C0503" w:rsidRDefault="002B4EA2" w:rsidP="002B4EA2">
      <w:pPr>
        <w:pStyle w:val="Condition2"/>
        <w:rPr>
          <w:lang w:eastAsia="en-AU"/>
        </w:rPr>
      </w:pPr>
      <w:r w:rsidRPr="007C0503">
        <w:rPr>
          <w:lang w:val="en-US" w:eastAsia="en-AU"/>
        </w:rPr>
        <w:t>A landscape plan prepared by</w:t>
      </w:r>
      <w:r w:rsidRPr="007C0503">
        <w:rPr>
          <w:lang w:eastAsia="en-AU"/>
        </w:rPr>
        <w:t xml:space="preserve"> a Landscape Architect or a suitably qualified or experienced landscape designer, drawn to scale and dimensioned must be submitted to and approved by the </w:t>
      </w:r>
      <w:r w:rsidR="001E09F5">
        <w:rPr>
          <w:lang w:eastAsia="en-AU"/>
        </w:rPr>
        <w:t>r</w:t>
      </w:r>
      <w:r w:rsidRPr="007C0503">
        <w:rPr>
          <w:lang w:eastAsia="en-AU"/>
        </w:rPr>
        <w:t xml:space="preserve">esponsible </w:t>
      </w:r>
      <w:r w:rsidR="001E09F5">
        <w:rPr>
          <w:lang w:eastAsia="en-AU"/>
        </w:rPr>
        <w:t>a</w:t>
      </w:r>
      <w:r w:rsidRPr="007C0503">
        <w:rPr>
          <w:lang w:eastAsia="en-AU"/>
        </w:rPr>
        <w:t>uthority prior to the commencement of any works.  The plan must show the</w:t>
      </w:r>
      <w:r w:rsidRPr="007C0503">
        <w:rPr>
          <w:lang w:val="en-US" w:eastAsia="en-AU"/>
        </w:rPr>
        <w:t xml:space="preserve"> proposed landscape treatment of </w:t>
      </w:r>
      <w:r w:rsidRPr="007C0503">
        <w:rPr>
          <w:lang w:eastAsia="en-AU"/>
        </w:rPr>
        <w:t>the site including:-</w:t>
      </w:r>
    </w:p>
    <w:p w:rsidR="002B4EA2" w:rsidRPr="007C0503" w:rsidRDefault="002B4EA2" w:rsidP="002B4EA2">
      <w:pPr>
        <w:pStyle w:val="Condition3"/>
        <w:numPr>
          <w:ilvl w:val="0"/>
          <w:numId w:val="24"/>
        </w:numPr>
        <w:ind w:left="1134" w:hanging="207"/>
      </w:pPr>
      <w:r w:rsidRPr="007C0503">
        <w:t>the location of all existing trees and other vegetation to be retained on site;</w:t>
      </w:r>
    </w:p>
    <w:p w:rsidR="002B4EA2" w:rsidRPr="007C0503" w:rsidRDefault="002B4EA2" w:rsidP="002B4EA2">
      <w:pPr>
        <w:pStyle w:val="Condition3"/>
        <w:numPr>
          <w:ilvl w:val="0"/>
          <w:numId w:val="24"/>
        </w:numPr>
        <w:ind w:left="1134" w:hanging="207"/>
      </w:pPr>
      <w:r w:rsidRPr="007C0503">
        <w:t>provision of canopy trees with spreading crowns located throughout the site including the major open space areas of the development;</w:t>
      </w:r>
    </w:p>
    <w:p w:rsidR="002B4EA2" w:rsidRPr="007C0503" w:rsidRDefault="002B4EA2" w:rsidP="002B4EA2">
      <w:pPr>
        <w:pStyle w:val="Condition3"/>
        <w:numPr>
          <w:ilvl w:val="0"/>
          <w:numId w:val="24"/>
        </w:numPr>
        <w:ind w:left="1134" w:hanging="207"/>
      </w:pPr>
      <w:r w:rsidRPr="007C0503">
        <w:t>planting to soften the appearance of hard surface areas such as driveways and other paved areas;</w:t>
      </w:r>
    </w:p>
    <w:p w:rsidR="002B4EA2" w:rsidRPr="007C0503" w:rsidRDefault="002B4EA2" w:rsidP="002B4EA2">
      <w:pPr>
        <w:pStyle w:val="Condition3"/>
        <w:numPr>
          <w:ilvl w:val="0"/>
          <w:numId w:val="24"/>
        </w:numPr>
        <w:ind w:left="1134" w:hanging="207"/>
      </w:pPr>
      <w:r w:rsidRPr="007C0503">
        <w:t>a schedule of all proposed trees, shrubs and ground cover, which will include the size of all plants (at planting and at maturity), their location, botanical names and the location of all areas to be covered by grass, lawn, mulch or other surface material;</w:t>
      </w:r>
    </w:p>
    <w:p w:rsidR="002B4EA2" w:rsidRPr="007C0503" w:rsidRDefault="002B4EA2" w:rsidP="002B4EA2">
      <w:pPr>
        <w:pStyle w:val="Condition3"/>
        <w:numPr>
          <w:ilvl w:val="0"/>
          <w:numId w:val="24"/>
        </w:numPr>
        <w:ind w:left="1134" w:hanging="207"/>
      </w:pPr>
      <w:r w:rsidRPr="007C0503">
        <w:t>the location and details of all fencing;</w:t>
      </w:r>
    </w:p>
    <w:p w:rsidR="002B4EA2" w:rsidRPr="007C0503" w:rsidRDefault="002B4EA2" w:rsidP="002B4EA2">
      <w:pPr>
        <w:pStyle w:val="Condition3"/>
        <w:numPr>
          <w:ilvl w:val="0"/>
          <w:numId w:val="24"/>
        </w:numPr>
        <w:ind w:left="1134" w:hanging="207"/>
      </w:pPr>
      <w:r w:rsidRPr="007C0503">
        <w:t>the extent of any cut, fill, embankments or retaining walls associated with the landscape treatment of the site;</w:t>
      </w:r>
    </w:p>
    <w:p w:rsidR="002B4EA2" w:rsidRPr="007C0503" w:rsidRDefault="002B4EA2" w:rsidP="002B4EA2">
      <w:pPr>
        <w:pStyle w:val="Condition3"/>
        <w:numPr>
          <w:ilvl w:val="0"/>
          <w:numId w:val="24"/>
        </w:numPr>
        <w:ind w:left="1134" w:hanging="207"/>
      </w:pPr>
      <w:r w:rsidRPr="007C0503">
        <w:t>details of all proposed hard surface materials including pathways, patio or decked areas;</w:t>
      </w:r>
    </w:p>
    <w:p w:rsidR="002B4EA2" w:rsidRPr="007C0503" w:rsidRDefault="002B4EA2" w:rsidP="002B4EA2">
      <w:pPr>
        <w:pStyle w:val="Condition3"/>
        <w:numPr>
          <w:ilvl w:val="0"/>
          <w:numId w:val="24"/>
        </w:numPr>
        <w:ind w:left="1134" w:hanging="207"/>
      </w:pPr>
      <w:r w:rsidRPr="007C0503">
        <w:t>the Tree Protection Zone (TPZ) of Tree No’</w:t>
      </w:r>
      <w:hyperlink r:id="rId11" w:history="1">
        <w:r w:rsidRPr="007C0503">
          <w:t xml:space="preserve">s 1, 3, 6 and 8, </w:t>
        </w:r>
      </w:hyperlink>
      <w:r w:rsidRPr="007C0503">
        <w:t>as per the Tree Arboricultural Impact Assessment prepared by Treemendous Consulting Pty Ltd dated 21 March 2018;</w:t>
      </w:r>
    </w:p>
    <w:p w:rsidR="002B4EA2" w:rsidRPr="007C0503" w:rsidRDefault="002B4EA2" w:rsidP="002B4EA2">
      <w:pPr>
        <w:pStyle w:val="Condition3"/>
        <w:numPr>
          <w:ilvl w:val="0"/>
          <w:numId w:val="24"/>
        </w:numPr>
        <w:ind w:left="1134" w:hanging="207"/>
      </w:pPr>
      <w:r w:rsidRPr="007C0503">
        <w:rPr>
          <w:lang w:eastAsia="en-AU"/>
        </w:rPr>
        <w:t xml:space="preserve">the location of any tree protection fencing required in accordance with the recommendations of the approved </w:t>
      </w:r>
      <w:r w:rsidRPr="007C0503">
        <w:rPr>
          <w:bCs/>
          <w:lang w:eastAsia="en-AU"/>
        </w:rPr>
        <w:t>Tree Management Plan</w:t>
      </w:r>
      <w:r w:rsidRPr="007C0503">
        <w:rPr>
          <w:lang w:eastAsia="en-AU"/>
        </w:rPr>
        <w:t xml:space="preserve"> required by Condition 5;</w:t>
      </w:r>
    </w:p>
    <w:p w:rsidR="002B4EA2" w:rsidRPr="007C0503" w:rsidRDefault="002B4EA2" w:rsidP="002B4EA2">
      <w:pPr>
        <w:pStyle w:val="Condition3"/>
        <w:numPr>
          <w:ilvl w:val="0"/>
          <w:numId w:val="24"/>
        </w:numPr>
        <w:ind w:left="1134" w:hanging="207"/>
      </w:pPr>
      <w:r w:rsidRPr="007C0503">
        <w:t>any recommendations of the</w:t>
      </w:r>
      <w:r w:rsidRPr="007C0503">
        <w:rPr>
          <w:bCs/>
        </w:rPr>
        <w:t> Tree Management Plan </w:t>
      </w:r>
      <w:r w:rsidRPr="007C0503">
        <w:t>in accordance with Condition 5(a);</w:t>
      </w:r>
    </w:p>
    <w:p w:rsidR="002B4EA2" w:rsidRPr="007C0503" w:rsidRDefault="002B4EA2" w:rsidP="002B4EA2">
      <w:pPr>
        <w:pStyle w:val="Condition3"/>
      </w:pPr>
      <w:r w:rsidRPr="007C0503">
        <w:t>Tree planting should be kept clear of the drainage easement.</w:t>
      </w:r>
    </w:p>
    <w:p w:rsidR="002B4EA2" w:rsidRPr="007C0503" w:rsidRDefault="002B4EA2" w:rsidP="002B4EA2">
      <w:pPr>
        <w:pStyle w:val="Condition3"/>
      </w:pPr>
      <w:r w:rsidRPr="007C0503">
        <w:t>When approved the plan will be endorsed and will then form part of the permit.</w:t>
      </w:r>
    </w:p>
    <w:p w:rsidR="002B4EA2" w:rsidRPr="007C0503" w:rsidRDefault="002B4EA2" w:rsidP="002B4EA2">
      <w:pPr>
        <w:pStyle w:val="Condition2"/>
      </w:pPr>
      <w:r w:rsidRPr="007C0503">
        <w:rPr>
          <w:lang w:val="en-US"/>
        </w:rPr>
        <w:t>Before the occupation of the</w:t>
      </w:r>
      <w:r w:rsidRPr="007C0503">
        <w:t xml:space="preserve"> buildings allowed by this permit, landscaping works as shown on the endorsed plans must be completed to the satisfaction of the </w:t>
      </w:r>
      <w:r w:rsidR="001E09F5">
        <w:t>r</w:t>
      </w:r>
      <w:r w:rsidRPr="007C0503">
        <w:t xml:space="preserve">esponsible </w:t>
      </w:r>
      <w:r w:rsidR="001E09F5">
        <w:t>a</w:t>
      </w:r>
      <w:r w:rsidRPr="007C0503">
        <w:t xml:space="preserve">uthority and then maintained to the satisfaction of the </w:t>
      </w:r>
      <w:r w:rsidR="001E09F5">
        <w:t>r</w:t>
      </w:r>
      <w:r w:rsidRPr="007C0503">
        <w:t xml:space="preserve">esponsible </w:t>
      </w:r>
      <w:r w:rsidR="001E09F5">
        <w:t>a</w:t>
      </w:r>
      <w:r w:rsidRPr="007C0503">
        <w:t>uthority.</w:t>
      </w:r>
    </w:p>
    <w:p w:rsidR="002B4EA2" w:rsidRPr="007C0503" w:rsidRDefault="00E92A1F" w:rsidP="002B4EA2">
      <w:pPr>
        <w:pStyle w:val="Heading3"/>
        <w:rPr>
          <w:lang w:val="en-US"/>
        </w:rPr>
      </w:pPr>
      <w:r>
        <w:rPr>
          <w:noProof/>
          <w:lang w:val="en-US"/>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4EA2" w:rsidRPr="007C0503">
        <w:rPr>
          <w:lang w:val="en-US"/>
        </w:rPr>
        <w:t>Drainage Engineering</w:t>
      </w:r>
    </w:p>
    <w:p w:rsidR="002B4EA2" w:rsidRPr="007C0503" w:rsidRDefault="002B4EA2" w:rsidP="002B4EA2">
      <w:pPr>
        <w:pStyle w:val="Condition2"/>
        <w:rPr>
          <w:rFonts w:eastAsia="Calibri"/>
          <w:lang w:eastAsia="en-AU"/>
        </w:rPr>
      </w:pPr>
      <w:r w:rsidRPr="007C0503">
        <w:rPr>
          <w:rFonts w:eastAsia="Calibri"/>
          <w:lang w:eastAsia="en-AU"/>
        </w:rPr>
        <w:t>All on-site stormwater is to be collected from hard surface areas and must not be allowed to flow uncontrolled into adjoining properties.  The on-site drainage system must prevent discharge from each driveway onto the footpath.  Such a system may include either:</w:t>
      </w:r>
    </w:p>
    <w:p w:rsidR="002B4EA2" w:rsidRPr="007C0503" w:rsidRDefault="002B4EA2" w:rsidP="002B4EA2">
      <w:pPr>
        <w:pStyle w:val="Condition2"/>
        <w:numPr>
          <w:ilvl w:val="1"/>
          <w:numId w:val="7"/>
        </w:numPr>
      </w:pPr>
      <w:r w:rsidRPr="007C0503">
        <w:t>a trench grate (150 mm minimum internal width) located within the property; and/or</w:t>
      </w:r>
    </w:p>
    <w:p w:rsidR="002B4EA2" w:rsidRPr="007C0503" w:rsidRDefault="002B4EA2" w:rsidP="002B4EA2">
      <w:pPr>
        <w:pStyle w:val="Condition2"/>
        <w:numPr>
          <w:ilvl w:val="1"/>
          <w:numId w:val="7"/>
        </w:numPr>
      </w:pPr>
      <w:r w:rsidRPr="007C0503">
        <w:t xml:space="preserve">shaping the driveway so that water is collected in a grated pit on the property; and/or </w:t>
      </w:r>
    </w:p>
    <w:p w:rsidR="002B4EA2" w:rsidRPr="007C0503" w:rsidRDefault="002B4EA2" w:rsidP="002B4EA2">
      <w:pPr>
        <w:pStyle w:val="Condition2"/>
        <w:numPr>
          <w:ilvl w:val="1"/>
          <w:numId w:val="7"/>
        </w:numPr>
      </w:pPr>
      <w:r w:rsidRPr="007C0503">
        <w:t xml:space="preserve">another Council approved equivalent. </w:t>
      </w:r>
    </w:p>
    <w:p w:rsidR="002B4EA2" w:rsidRPr="007C0503" w:rsidRDefault="002B4EA2" w:rsidP="002B4EA2">
      <w:pPr>
        <w:pStyle w:val="Condition2"/>
      </w:pPr>
      <w:r w:rsidRPr="007C0503">
        <w:rPr>
          <w:lang w:val="en-US"/>
        </w:rPr>
        <w:t xml:space="preserve">Stormwater discharge is to be detained on-site to the predevelopment level of peak stormwater discharge.  Approval of any detention system is required from Council prior to works commencing. </w:t>
      </w:r>
      <w:r w:rsidRPr="007C0503">
        <w:t>Please refer to the notes section of this permit for additional details</w:t>
      </w:r>
      <w:r w:rsidRPr="007C0503">
        <w:rPr>
          <w:lang w:val="en-US"/>
        </w:rPr>
        <w:t xml:space="preserve">. </w:t>
      </w:r>
    </w:p>
    <w:p w:rsidR="002B4EA2" w:rsidRPr="007C0503" w:rsidRDefault="002B4EA2" w:rsidP="002B4EA2">
      <w:pPr>
        <w:pStyle w:val="Condition2"/>
      </w:pPr>
      <w:r w:rsidRPr="007C0503">
        <w:t xml:space="preserve">The nominated point of stormwater connection for the site is to the south-west corner of the property where the entire site's stormwater drainage must be collected and free drained via a pipe to the kerb and channel on Imperial Avenue to Council Standards.   Note: - If the point of discharge cannot be located then notify Council's Engineering Division immediately. </w:t>
      </w:r>
    </w:p>
    <w:p w:rsidR="002B4EA2" w:rsidRPr="007C0503" w:rsidRDefault="002B4EA2" w:rsidP="002B4EA2">
      <w:pPr>
        <w:pStyle w:val="Condition2"/>
      </w:pPr>
      <w:r w:rsidRPr="007C0503">
        <w:t xml:space="preserve">Any new drainage work within the road reserve requires the approval of the Council’s Engineering Division prior to the works commencing. Please refer to the notes section of this permit for additional details. </w:t>
      </w:r>
    </w:p>
    <w:p w:rsidR="002B4EA2" w:rsidRPr="007C0503" w:rsidRDefault="002B4EA2" w:rsidP="002B4EA2">
      <w:pPr>
        <w:pStyle w:val="Condition2"/>
      </w:pPr>
      <w:r w:rsidRPr="007C0503">
        <w:t>Engineering permits must be obtained for new or altered vehicle crossings and for new connections to the kerb and channel and these works are to be inspected by Council (telephone 9518 3555).</w:t>
      </w:r>
    </w:p>
    <w:p w:rsidR="002B4EA2" w:rsidRPr="007C0503" w:rsidRDefault="002B4EA2" w:rsidP="002B4EA2">
      <w:pPr>
        <w:pStyle w:val="Heading3"/>
      </w:pPr>
      <w:r w:rsidRPr="007C0503">
        <w:t>Transport Engineering</w:t>
      </w:r>
    </w:p>
    <w:p w:rsidR="002B4EA2" w:rsidRPr="007C0503" w:rsidRDefault="00A8790D" w:rsidP="002B4EA2">
      <w:pPr>
        <w:pStyle w:val="Condition2"/>
        <w:rPr>
          <w:rFonts w:eastAsia="Calibri"/>
          <w:lang w:eastAsia="en-AU"/>
        </w:rPr>
      </w:pPr>
      <w:r>
        <w:rPr>
          <w:rFonts w:eastAsia="Calibri"/>
          <w:lang w:eastAsia="en-AU"/>
        </w:rPr>
        <w:t>The</w:t>
      </w:r>
      <w:r w:rsidR="002B4EA2" w:rsidRPr="007C0503">
        <w:rPr>
          <w:rFonts w:eastAsia="Calibri"/>
          <w:lang w:eastAsia="en-AU"/>
        </w:rPr>
        <w:t xml:space="preserve"> new crossing</w:t>
      </w:r>
      <w:r>
        <w:rPr>
          <w:rFonts w:eastAsia="Calibri"/>
          <w:lang w:eastAsia="en-AU"/>
        </w:rPr>
        <w:t xml:space="preserve"> for Dwelling 3</w:t>
      </w:r>
      <w:r w:rsidR="002B4EA2" w:rsidRPr="007C0503">
        <w:rPr>
          <w:rFonts w:eastAsia="Calibri"/>
          <w:lang w:eastAsia="en-AU"/>
        </w:rPr>
        <w:t xml:space="preserve"> must be a minimum of 3.0 metres in width. </w:t>
      </w:r>
    </w:p>
    <w:p w:rsidR="002B4EA2" w:rsidRPr="007C0503" w:rsidRDefault="002B4EA2" w:rsidP="002B4EA2">
      <w:pPr>
        <w:pStyle w:val="Condition2"/>
      </w:pPr>
      <w:r w:rsidRPr="007C0503">
        <w:t>The existing redundant crossings are to be removed and replaced with kerb and channel.  The footpath and nature strip are to be reinstated to the satisfaction of Council.</w:t>
      </w:r>
    </w:p>
    <w:p w:rsidR="002B4EA2" w:rsidRPr="007C0503" w:rsidRDefault="002B4EA2" w:rsidP="002B4EA2">
      <w:pPr>
        <w:pStyle w:val="Heading3"/>
      </w:pPr>
      <w:r w:rsidRPr="007C0503">
        <w:t xml:space="preserve">Time Limit </w:t>
      </w:r>
    </w:p>
    <w:p w:rsidR="002B4EA2" w:rsidRPr="007C0503" w:rsidRDefault="002B4EA2" w:rsidP="002B4EA2">
      <w:pPr>
        <w:pStyle w:val="Condition2"/>
      </w:pPr>
      <w:r w:rsidRPr="007C0503">
        <w:t xml:space="preserve">This permit will expire in accordance with section 68 of the </w:t>
      </w:r>
      <w:r w:rsidRPr="007C0503">
        <w:rPr>
          <w:i/>
          <w:iCs/>
        </w:rPr>
        <w:t>Planning and Environment Act 1987</w:t>
      </w:r>
      <w:r w:rsidRPr="007C0503">
        <w:t>, if one of the following circumstances applies:</w:t>
      </w:r>
    </w:p>
    <w:p w:rsidR="002B4EA2" w:rsidRPr="007C0503" w:rsidRDefault="002B4EA2" w:rsidP="002B4EA2">
      <w:pPr>
        <w:pStyle w:val="Condition3"/>
        <w:numPr>
          <w:ilvl w:val="0"/>
          <w:numId w:val="25"/>
        </w:numPr>
        <w:ind w:left="1134" w:hanging="207"/>
      </w:pPr>
      <w:r w:rsidRPr="007C0503">
        <w:t xml:space="preserve">The development is not started before </w:t>
      </w:r>
      <w:r w:rsidR="001E09F5">
        <w:t xml:space="preserve">two </w:t>
      </w:r>
      <w:r w:rsidRPr="007C0503">
        <w:t>years from the date of issue</w:t>
      </w:r>
      <w:r w:rsidRPr="007C0503">
        <w:rPr>
          <w:i/>
          <w:iCs/>
        </w:rPr>
        <w:t>.</w:t>
      </w:r>
    </w:p>
    <w:p w:rsidR="002B4EA2" w:rsidRPr="007C0503" w:rsidRDefault="002B4EA2" w:rsidP="002B4EA2">
      <w:pPr>
        <w:pStyle w:val="Condition3"/>
        <w:numPr>
          <w:ilvl w:val="0"/>
          <w:numId w:val="25"/>
        </w:numPr>
        <w:ind w:left="1134" w:hanging="207"/>
      </w:pPr>
      <w:r w:rsidRPr="007C0503">
        <w:t xml:space="preserve">The development is not completed before </w:t>
      </w:r>
      <w:r w:rsidR="001E09F5">
        <w:t xml:space="preserve">four </w:t>
      </w:r>
      <w:r w:rsidRPr="007C0503">
        <w:t>years from the date of issue</w:t>
      </w:r>
      <w:r w:rsidRPr="007C0503">
        <w:rPr>
          <w:i/>
          <w:iCs/>
        </w:rPr>
        <w:t>.</w:t>
      </w:r>
    </w:p>
    <w:p w:rsidR="00E200CF" w:rsidRPr="00551796" w:rsidRDefault="00E92A1F" w:rsidP="001E09F5">
      <w:pPr>
        <w:pStyle w:val="Condition3"/>
      </w:pPr>
      <w:r>
        <w:rPr>
          <w:noProof/>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4EA2" w:rsidRPr="007C0503">
        <w:t xml:space="preserve">In accordance with section 69 of the </w:t>
      </w:r>
      <w:r w:rsidR="002B4EA2" w:rsidRPr="007C0503">
        <w:rPr>
          <w:i/>
          <w:iCs/>
        </w:rPr>
        <w:t>Planning and Environment Act 1987</w:t>
      </w:r>
      <w:r w:rsidR="002B4EA2" w:rsidRPr="007C0503">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E200CF" w:rsidRDefault="00E200CF" w:rsidP="00E200CF">
      <w:pPr>
        <w:pStyle w:val="Order1"/>
      </w:pPr>
    </w:p>
    <w:p w:rsidR="00E200CF" w:rsidRPr="00D54648" w:rsidRDefault="00E200CF" w:rsidP="00E200CF">
      <w:pPr>
        <w:pStyle w:val="Order1"/>
        <w:jc w:val="center"/>
        <w:rPr>
          <w:b/>
        </w:rPr>
      </w:pPr>
      <w:r w:rsidRPr="00D54648">
        <w:rPr>
          <w:b/>
        </w:rPr>
        <w:t>– End of conditions –</w:t>
      </w:r>
    </w:p>
    <w:p w:rsidR="008B4936" w:rsidRDefault="008B4936"/>
    <w:sectPr w:rsidR="008B4936">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28" w:rsidRDefault="008F3628">
      <w:r>
        <w:separator/>
      </w:r>
    </w:p>
  </w:endnote>
  <w:endnote w:type="continuationSeparator" w:id="0">
    <w:p w:rsidR="008F3628" w:rsidRDefault="008F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C5025">
      <w:trPr>
        <w:cantSplit/>
      </w:trPr>
      <w:tc>
        <w:tcPr>
          <w:tcW w:w="3884" w:type="pct"/>
        </w:tcPr>
        <w:p w:rsidR="007C5025" w:rsidRDefault="007C5025">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VCAT Reference No. P1517/2018</w:t>
          </w:r>
        </w:p>
      </w:tc>
      <w:tc>
        <w:tcPr>
          <w:tcW w:w="1116" w:type="pct"/>
        </w:tcPr>
        <w:p w:rsidR="007C5025" w:rsidRDefault="007C502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E60BA">
            <w:rPr>
              <w:rFonts w:cs="Arial"/>
              <w:noProof/>
              <w:sz w:val="18"/>
              <w:szCs w:val="18"/>
            </w:rPr>
            <w:t>19</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E60BA">
            <w:rPr>
              <w:rFonts w:cs="Arial"/>
              <w:noProof/>
              <w:sz w:val="18"/>
              <w:szCs w:val="18"/>
            </w:rPr>
            <w:t>19</w:t>
          </w:r>
          <w:r>
            <w:rPr>
              <w:rFonts w:cs="Arial"/>
              <w:sz w:val="18"/>
              <w:szCs w:val="18"/>
            </w:rPr>
            <w:fldChar w:fldCharType="end"/>
          </w:r>
        </w:p>
      </w:tc>
    </w:tr>
  </w:tbl>
  <w:p w:rsidR="007C5025" w:rsidRDefault="007C5025">
    <w:pPr>
      <w:pStyle w:val="Footer"/>
      <w:rPr>
        <w:sz w:val="2"/>
      </w:rPr>
    </w:pPr>
  </w:p>
  <w:p w:rsidR="007C5025" w:rsidRDefault="007C5025">
    <w:pPr>
      <w:rPr>
        <w:sz w:val="2"/>
      </w:rPr>
    </w:pPr>
  </w:p>
  <w:p w:rsidR="007C5025" w:rsidRDefault="007C502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28" w:rsidRDefault="008F3628">
      <w:pPr>
        <w:pStyle w:val="Footer"/>
        <w:pBdr>
          <w:top w:val="single" w:sz="4" w:space="1" w:color="auto"/>
        </w:pBdr>
        <w:rPr>
          <w:sz w:val="12"/>
        </w:rPr>
      </w:pPr>
    </w:p>
  </w:footnote>
  <w:footnote w:type="continuationSeparator" w:id="0">
    <w:p w:rsidR="008F3628" w:rsidRDefault="008F3628">
      <w:r>
        <w:continuationSeparator/>
      </w:r>
    </w:p>
  </w:footnote>
  <w:footnote w:id="1">
    <w:p w:rsidR="007C5025" w:rsidRDefault="007C5025"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7C5025" w:rsidRDefault="007C5025" w:rsidP="00E70FBD">
      <w:pPr>
        <w:pStyle w:val="FootnoteText"/>
      </w:pPr>
      <w:r>
        <w:rPr>
          <w:rStyle w:val="FootnoteReference"/>
        </w:rPr>
        <w:footnoteRef/>
      </w:r>
      <w:r>
        <w:t xml:space="preserve"> </w:t>
      </w:r>
      <w:r>
        <w:tab/>
        <w:t>Monash Planning Scheme [cl 32.08].</w:t>
      </w:r>
    </w:p>
  </w:footnote>
  <w:footnote w:id="3">
    <w:p w:rsidR="007C5025" w:rsidRDefault="007C5025">
      <w:pPr>
        <w:pStyle w:val="FootnoteText"/>
      </w:pPr>
      <w:r>
        <w:rPr>
          <w:rStyle w:val="FootnoteReference"/>
        </w:rPr>
        <w:footnoteRef/>
      </w:r>
      <w:r>
        <w:t xml:space="preserve"> </w:t>
      </w:r>
      <w:r>
        <w:tab/>
        <w:t xml:space="preserve">Cited decisions include </w:t>
      </w:r>
      <w:r w:rsidRPr="009D4C31">
        <w:rPr>
          <w:i/>
        </w:rPr>
        <w:t>IPIA Pty Ltd v Monash CC</w:t>
      </w:r>
      <w:r>
        <w:t xml:space="preserve"> [2018] VCAT 1290, </w:t>
      </w:r>
      <w:r w:rsidRPr="009D4C31">
        <w:rPr>
          <w:i/>
        </w:rPr>
        <w:t xml:space="preserve">Makhmalbaf v Monash CC </w:t>
      </w:r>
      <w:r>
        <w:t>(Red Dot) [2018] VCAT 1641.</w:t>
      </w:r>
    </w:p>
  </w:footnote>
  <w:footnote w:id="4">
    <w:p w:rsidR="007C5025" w:rsidRDefault="007C5025" w:rsidP="0084506E">
      <w:pPr>
        <w:pStyle w:val="FootnoteText"/>
      </w:pPr>
      <w:r>
        <w:rPr>
          <w:rStyle w:val="FootnoteReference"/>
        </w:rPr>
        <w:footnoteRef/>
      </w:r>
      <w:r>
        <w:t xml:space="preserve"> </w:t>
      </w:r>
      <w:r>
        <w:tab/>
        <w:t>Monash Planning Scheme [cl 22.01-4].</w:t>
      </w:r>
    </w:p>
  </w:footnote>
  <w:footnote w:id="5">
    <w:p w:rsidR="007C5025" w:rsidRDefault="007C5025">
      <w:pPr>
        <w:pStyle w:val="FootnoteText"/>
      </w:pPr>
      <w:r>
        <w:rPr>
          <w:rStyle w:val="FootnoteReference"/>
        </w:rPr>
        <w:footnoteRef/>
      </w:r>
      <w:r>
        <w:t xml:space="preserve"> </w:t>
      </w:r>
      <w:r>
        <w:tab/>
        <w:t>No details of this Tribunal decision w</w:t>
      </w:r>
      <w:r w:rsidR="00AE6B5A">
        <w:t>ere</w:t>
      </w:r>
      <w:r>
        <w:t xml:space="preserve"> </w:t>
      </w:r>
      <w:r w:rsidR="000B46E3">
        <w:t>tabled</w:t>
      </w:r>
      <w:r>
        <w:t xml:space="preserve"> at the hearing but a copy of the Council report was </w:t>
      </w:r>
      <w:r w:rsidR="000B46E3">
        <w:t>submitted</w:t>
      </w:r>
      <w:r>
        <w:t xml:space="preserve"> by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B32C0B"/>
    <w:multiLevelType w:val="hybridMultilevel"/>
    <w:tmpl w:val="A1027C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514FED"/>
    <w:multiLevelType w:val="hybridMultilevel"/>
    <w:tmpl w:val="00CA8C0C"/>
    <w:lvl w:ilvl="0" w:tplc="4D9249EE">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3764A"/>
    <w:multiLevelType w:val="hybridMultilevel"/>
    <w:tmpl w:val="FD0427C2"/>
    <w:lvl w:ilvl="0" w:tplc="33CA4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FE53A0"/>
    <w:multiLevelType w:val="multilevel"/>
    <w:tmpl w:val="B4301D74"/>
    <w:lvl w:ilvl="0">
      <w:start w:val="1"/>
      <w:numFmt w:val="decimal"/>
      <w:lvlText w:val="%1."/>
      <w:lvlJc w:val="left"/>
      <w:pPr>
        <w:tabs>
          <w:tab w:val="num" w:pos="720"/>
        </w:tabs>
        <w:ind w:left="720" w:hanging="360"/>
      </w:pPr>
    </w:lvl>
    <w:lvl w:ilvl="1">
      <w:start w:val="1"/>
      <w:numFmt w:val="lowerLetter"/>
      <w:lvlText w:val="(%2)"/>
      <w:lvlJc w:val="left"/>
      <w:pPr>
        <w:ind w:left="1650" w:hanging="57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A54964"/>
    <w:multiLevelType w:val="hybridMultilevel"/>
    <w:tmpl w:val="CB2E6226"/>
    <w:lvl w:ilvl="0" w:tplc="0C09000F">
      <w:start w:val="1"/>
      <w:numFmt w:val="decimal"/>
      <w:lvlText w:val="%1."/>
      <w:lvlJc w:val="left"/>
      <w:pPr>
        <w:ind w:left="720" w:hanging="360"/>
      </w:pPr>
    </w:lvl>
    <w:lvl w:ilvl="1" w:tplc="29F4E44A">
      <w:start w:val="1"/>
      <w:numFmt w:val="lowerLetter"/>
      <w:lvlText w:val="%2)"/>
      <w:lvlJc w:val="left"/>
      <w:pPr>
        <w:ind w:left="1440" w:hanging="360"/>
      </w:pPr>
      <w:rPr>
        <w:rFonts w:ascii="Calibri" w:eastAsia="Times New Roman" w:hAnsi="Calibri" w:cs="Calibr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23750"/>
    <w:multiLevelType w:val="hybridMultilevel"/>
    <w:tmpl w:val="8230CC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923795A"/>
    <w:multiLevelType w:val="hybridMultilevel"/>
    <w:tmpl w:val="D872268E"/>
    <w:lvl w:ilvl="0" w:tplc="04090001">
      <w:start w:val="1"/>
      <w:numFmt w:val="bullet"/>
      <w:lvlText w:val=""/>
      <w:lvlJc w:val="left"/>
      <w:pPr>
        <w:ind w:left="2907"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14"/>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num>
  <w:num w:numId="22">
    <w:abstractNumId w:val="9"/>
  </w:num>
  <w:num w:numId="23">
    <w:abstractNumId w:val="7"/>
  </w:num>
  <w:num w:numId="24">
    <w:abstractNumId w:val="5"/>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fnz6c5fTqtSSHULX3vjhf6aACjvt4TvUwu88aADHJhHhuXCW27fLCmsanonFqHoHDHJeQnKXe6KMXh3TuFV8A==" w:salt="jmSJ5zhNNKovKApD2Zj3i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040BA8"/>
    <w:rsid w:val="0001113F"/>
    <w:rsid w:val="000173C4"/>
    <w:rsid w:val="00027F01"/>
    <w:rsid w:val="00036E3F"/>
    <w:rsid w:val="00037B8F"/>
    <w:rsid w:val="00040BA8"/>
    <w:rsid w:val="00041705"/>
    <w:rsid w:val="000421A8"/>
    <w:rsid w:val="00057004"/>
    <w:rsid w:val="00061FEB"/>
    <w:rsid w:val="00062780"/>
    <w:rsid w:val="00063C31"/>
    <w:rsid w:val="00066BB5"/>
    <w:rsid w:val="00076E22"/>
    <w:rsid w:val="00076E95"/>
    <w:rsid w:val="00080E1F"/>
    <w:rsid w:val="000854CC"/>
    <w:rsid w:val="000945F9"/>
    <w:rsid w:val="00094A20"/>
    <w:rsid w:val="000B0170"/>
    <w:rsid w:val="000B249E"/>
    <w:rsid w:val="000B46E3"/>
    <w:rsid w:val="000E60F0"/>
    <w:rsid w:val="000F4E28"/>
    <w:rsid w:val="001076AA"/>
    <w:rsid w:val="00123995"/>
    <w:rsid w:val="00124C1E"/>
    <w:rsid w:val="001376FF"/>
    <w:rsid w:val="001408B7"/>
    <w:rsid w:val="00141CA0"/>
    <w:rsid w:val="00152541"/>
    <w:rsid w:val="001567AE"/>
    <w:rsid w:val="00156AA9"/>
    <w:rsid w:val="0016093F"/>
    <w:rsid w:val="00163377"/>
    <w:rsid w:val="00167876"/>
    <w:rsid w:val="001708C4"/>
    <w:rsid w:val="0018330C"/>
    <w:rsid w:val="001A10B4"/>
    <w:rsid w:val="001B0A67"/>
    <w:rsid w:val="001C0B65"/>
    <w:rsid w:val="001C1B53"/>
    <w:rsid w:val="001C6DD1"/>
    <w:rsid w:val="001D63A4"/>
    <w:rsid w:val="001E09F5"/>
    <w:rsid w:val="001E49C7"/>
    <w:rsid w:val="001E60BA"/>
    <w:rsid w:val="001E6698"/>
    <w:rsid w:val="001F2D3D"/>
    <w:rsid w:val="00217A8A"/>
    <w:rsid w:val="0023472F"/>
    <w:rsid w:val="00247A14"/>
    <w:rsid w:val="002563BE"/>
    <w:rsid w:val="0028144B"/>
    <w:rsid w:val="0028244B"/>
    <w:rsid w:val="00290F9B"/>
    <w:rsid w:val="00293A03"/>
    <w:rsid w:val="002A47E1"/>
    <w:rsid w:val="002A52E0"/>
    <w:rsid w:val="002A7382"/>
    <w:rsid w:val="002B1FD0"/>
    <w:rsid w:val="002B4EA2"/>
    <w:rsid w:val="002B7051"/>
    <w:rsid w:val="002D05B6"/>
    <w:rsid w:val="002D7AF0"/>
    <w:rsid w:val="002E6AF8"/>
    <w:rsid w:val="002F27B5"/>
    <w:rsid w:val="00312D8A"/>
    <w:rsid w:val="0031301B"/>
    <w:rsid w:val="0032102D"/>
    <w:rsid w:val="00322661"/>
    <w:rsid w:val="0033270E"/>
    <w:rsid w:val="0034213D"/>
    <w:rsid w:val="0036015F"/>
    <w:rsid w:val="00360425"/>
    <w:rsid w:val="00361E5C"/>
    <w:rsid w:val="00361EF0"/>
    <w:rsid w:val="003813E9"/>
    <w:rsid w:val="003B5E75"/>
    <w:rsid w:val="003C543A"/>
    <w:rsid w:val="003D546E"/>
    <w:rsid w:val="003D7278"/>
    <w:rsid w:val="003E11C8"/>
    <w:rsid w:val="003E44A7"/>
    <w:rsid w:val="003F0545"/>
    <w:rsid w:val="00412E8A"/>
    <w:rsid w:val="00434BAA"/>
    <w:rsid w:val="00467B86"/>
    <w:rsid w:val="00477574"/>
    <w:rsid w:val="004908EE"/>
    <w:rsid w:val="004919B5"/>
    <w:rsid w:val="00495762"/>
    <w:rsid w:val="004A08F5"/>
    <w:rsid w:val="004A1562"/>
    <w:rsid w:val="004A201D"/>
    <w:rsid w:val="004B2A37"/>
    <w:rsid w:val="004B3605"/>
    <w:rsid w:val="004D0391"/>
    <w:rsid w:val="004D2122"/>
    <w:rsid w:val="004D22E5"/>
    <w:rsid w:val="004D4008"/>
    <w:rsid w:val="004F54C1"/>
    <w:rsid w:val="004F6FFF"/>
    <w:rsid w:val="00500B66"/>
    <w:rsid w:val="00507771"/>
    <w:rsid w:val="00510802"/>
    <w:rsid w:val="00511A01"/>
    <w:rsid w:val="0052561A"/>
    <w:rsid w:val="00534390"/>
    <w:rsid w:val="00540C14"/>
    <w:rsid w:val="00565864"/>
    <w:rsid w:val="00580522"/>
    <w:rsid w:val="0058084D"/>
    <w:rsid w:val="0059145F"/>
    <w:rsid w:val="0059519F"/>
    <w:rsid w:val="005A479C"/>
    <w:rsid w:val="005A71DF"/>
    <w:rsid w:val="005B3D5D"/>
    <w:rsid w:val="005D2309"/>
    <w:rsid w:val="005D408F"/>
    <w:rsid w:val="005D6C47"/>
    <w:rsid w:val="005D77CE"/>
    <w:rsid w:val="005E1511"/>
    <w:rsid w:val="005E2D20"/>
    <w:rsid w:val="005E4824"/>
    <w:rsid w:val="005F6FDD"/>
    <w:rsid w:val="00604733"/>
    <w:rsid w:val="00604881"/>
    <w:rsid w:val="006055F3"/>
    <w:rsid w:val="0061634A"/>
    <w:rsid w:val="00621E15"/>
    <w:rsid w:val="00626722"/>
    <w:rsid w:val="00632027"/>
    <w:rsid w:val="0064688A"/>
    <w:rsid w:val="00647F43"/>
    <w:rsid w:val="0065338E"/>
    <w:rsid w:val="00663FDD"/>
    <w:rsid w:val="00680AFF"/>
    <w:rsid w:val="00682C14"/>
    <w:rsid w:val="00684058"/>
    <w:rsid w:val="00697776"/>
    <w:rsid w:val="006A7BE4"/>
    <w:rsid w:val="006B2337"/>
    <w:rsid w:val="006C4DDA"/>
    <w:rsid w:val="006C7549"/>
    <w:rsid w:val="006E523B"/>
    <w:rsid w:val="006E7914"/>
    <w:rsid w:val="006F2F96"/>
    <w:rsid w:val="00705098"/>
    <w:rsid w:val="007237FE"/>
    <w:rsid w:val="007239EF"/>
    <w:rsid w:val="00726365"/>
    <w:rsid w:val="007301D6"/>
    <w:rsid w:val="00740D1C"/>
    <w:rsid w:val="0074603C"/>
    <w:rsid w:val="00751CCD"/>
    <w:rsid w:val="00763504"/>
    <w:rsid w:val="00764EDD"/>
    <w:rsid w:val="00776999"/>
    <w:rsid w:val="00780572"/>
    <w:rsid w:val="007941D7"/>
    <w:rsid w:val="0079593A"/>
    <w:rsid w:val="00796305"/>
    <w:rsid w:val="007A4F90"/>
    <w:rsid w:val="007C5025"/>
    <w:rsid w:val="007D487A"/>
    <w:rsid w:val="007D560F"/>
    <w:rsid w:val="007F601B"/>
    <w:rsid w:val="007F77A1"/>
    <w:rsid w:val="00803C19"/>
    <w:rsid w:val="008128BB"/>
    <w:rsid w:val="00812BED"/>
    <w:rsid w:val="00812EEA"/>
    <w:rsid w:val="008265B7"/>
    <w:rsid w:val="00827BD2"/>
    <w:rsid w:val="00830459"/>
    <w:rsid w:val="00835428"/>
    <w:rsid w:val="0084488B"/>
    <w:rsid w:val="0084497D"/>
    <w:rsid w:val="0084506E"/>
    <w:rsid w:val="008602F8"/>
    <w:rsid w:val="00871FB9"/>
    <w:rsid w:val="0088045E"/>
    <w:rsid w:val="008835CF"/>
    <w:rsid w:val="008966DC"/>
    <w:rsid w:val="008A247D"/>
    <w:rsid w:val="008A46EC"/>
    <w:rsid w:val="008A5793"/>
    <w:rsid w:val="008B4936"/>
    <w:rsid w:val="008B7EB8"/>
    <w:rsid w:val="008C1674"/>
    <w:rsid w:val="008E2DF5"/>
    <w:rsid w:val="008F3628"/>
    <w:rsid w:val="0092119A"/>
    <w:rsid w:val="00924205"/>
    <w:rsid w:val="00926A96"/>
    <w:rsid w:val="00932AF9"/>
    <w:rsid w:val="0094148C"/>
    <w:rsid w:val="00956463"/>
    <w:rsid w:val="00956E7E"/>
    <w:rsid w:val="00970A79"/>
    <w:rsid w:val="00971D9A"/>
    <w:rsid w:val="009804A9"/>
    <w:rsid w:val="00993294"/>
    <w:rsid w:val="00995119"/>
    <w:rsid w:val="009C06C7"/>
    <w:rsid w:val="009D0685"/>
    <w:rsid w:val="009D4C31"/>
    <w:rsid w:val="009E1FCF"/>
    <w:rsid w:val="009F447E"/>
    <w:rsid w:val="00A12217"/>
    <w:rsid w:val="00A150D3"/>
    <w:rsid w:val="00A30D6A"/>
    <w:rsid w:val="00A35800"/>
    <w:rsid w:val="00A53783"/>
    <w:rsid w:val="00A5685F"/>
    <w:rsid w:val="00A8790D"/>
    <w:rsid w:val="00AA587E"/>
    <w:rsid w:val="00AB29FA"/>
    <w:rsid w:val="00AB39C1"/>
    <w:rsid w:val="00AE1DFA"/>
    <w:rsid w:val="00AE449E"/>
    <w:rsid w:val="00AE6441"/>
    <w:rsid w:val="00AE6B5A"/>
    <w:rsid w:val="00B01DC8"/>
    <w:rsid w:val="00B1013A"/>
    <w:rsid w:val="00B134F7"/>
    <w:rsid w:val="00B160AF"/>
    <w:rsid w:val="00B24B9B"/>
    <w:rsid w:val="00B27934"/>
    <w:rsid w:val="00B30FB4"/>
    <w:rsid w:val="00B355D6"/>
    <w:rsid w:val="00B36ACB"/>
    <w:rsid w:val="00B371E4"/>
    <w:rsid w:val="00B4044E"/>
    <w:rsid w:val="00B70487"/>
    <w:rsid w:val="00B876A2"/>
    <w:rsid w:val="00BA1951"/>
    <w:rsid w:val="00BB23E3"/>
    <w:rsid w:val="00BB7851"/>
    <w:rsid w:val="00BB7D21"/>
    <w:rsid w:val="00BC219D"/>
    <w:rsid w:val="00C05B38"/>
    <w:rsid w:val="00C10388"/>
    <w:rsid w:val="00C143BA"/>
    <w:rsid w:val="00C15B1E"/>
    <w:rsid w:val="00C2153A"/>
    <w:rsid w:val="00C21BA7"/>
    <w:rsid w:val="00C26EBF"/>
    <w:rsid w:val="00C35AE0"/>
    <w:rsid w:val="00C63A93"/>
    <w:rsid w:val="00C6629F"/>
    <w:rsid w:val="00C718C2"/>
    <w:rsid w:val="00C7408F"/>
    <w:rsid w:val="00C75E7E"/>
    <w:rsid w:val="00C81607"/>
    <w:rsid w:val="00C82DC6"/>
    <w:rsid w:val="00C8367F"/>
    <w:rsid w:val="00CA2144"/>
    <w:rsid w:val="00CA2642"/>
    <w:rsid w:val="00CA585E"/>
    <w:rsid w:val="00CC19B1"/>
    <w:rsid w:val="00CC6FF1"/>
    <w:rsid w:val="00CD1F2A"/>
    <w:rsid w:val="00CE0DEF"/>
    <w:rsid w:val="00CE2838"/>
    <w:rsid w:val="00CE698C"/>
    <w:rsid w:val="00CE7737"/>
    <w:rsid w:val="00D003B1"/>
    <w:rsid w:val="00D03F21"/>
    <w:rsid w:val="00D108EF"/>
    <w:rsid w:val="00D13BA6"/>
    <w:rsid w:val="00D14A42"/>
    <w:rsid w:val="00D23389"/>
    <w:rsid w:val="00D24AFE"/>
    <w:rsid w:val="00D24B15"/>
    <w:rsid w:val="00D24C86"/>
    <w:rsid w:val="00D35B1C"/>
    <w:rsid w:val="00D44FCD"/>
    <w:rsid w:val="00D52C2A"/>
    <w:rsid w:val="00D6081F"/>
    <w:rsid w:val="00D60B1F"/>
    <w:rsid w:val="00D616BA"/>
    <w:rsid w:val="00D64D3E"/>
    <w:rsid w:val="00D7672F"/>
    <w:rsid w:val="00D96D83"/>
    <w:rsid w:val="00DC7C16"/>
    <w:rsid w:val="00DD240D"/>
    <w:rsid w:val="00DD40D9"/>
    <w:rsid w:val="00DE0EF4"/>
    <w:rsid w:val="00DE3043"/>
    <w:rsid w:val="00DF270B"/>
    <w:rsid w:val="00E002C5"/>
    <w:rsid w:val="00E03A66"/>
    <w:rsid w:val="00E200CF"/>
    <w:rsid w:val="00E22A2C"/>
    <w:rsid w:val="00E40AD9"/>
    <w:rsid w:val="00E45071"/>
    <w:rsid w:val="00E62037"/>
    <w:rsid w:val="00E64CCA"/>
    <w:rsid w:val="00E70FBD"/>
    <w:rsid w:val="00E92A1F"/>
    <w:rsid w:val="00EA5010"/>
    <w:rsid w:val="00EA5975"/>
    <w:rsid w:val="00EB703D"/>
    <w:rsid w:val="00ED56ED"/>
    <w:rsid w:val="00ED5EE4"/>
    <w:rsid w:val="00EE4515"/>
    <w:rsid w:val="00EE5E8E"/>
    <w:rsid w:val="00EF50C2"/>
    <w:rsid w:val="00F338E1"/>
    <w:rsid w:val="00F55C68"/>
    <w:rsid w:val="00F60617"/>
    <w:rsid w:val="00F7725B"/>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8C239FF-D684-4F58-A168-4BEACC3B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NormalWeb">
    <w:name w:val="Normal (Web)"/>
    <w:basedOn w:val="Normal"/>
    <w:uiPriority w:val="99"/>
    <w:semiHidden/>
    <w:unhideWhenUsed/>
    <w:rsid w:val="002B4EA2"/>
    <w:pPr>
      <w:spacing w:after="120"/>
      <w:ind w:left="1276" w:hanging="567"/>
    </w:pPr>
    <w:rPr>
      <w:rFonts w:eastAsia="Calibri"/>
      <w:sz w:val="24"/>
      <w:szCs w:val="24"/>
    </w:rPr>
  </w:style>
  <w:style w:type="character" w:customStyle="1" w:styleId="Para1CharChar">
    <w:name w:val="Para 1 Char Char"/>
    <w:link w:val="Para1"/>
    <w:locked/>
    <w:rsid w:val="00CE0DEF"/>
    <w:rPr>
      <w:sz w:val="26"/>
      <w:szCs w:val="26"/>
      <w:lang w:eastAsia="en-US"/>
    </w:rPr>
  </w:style>
  <w:style w:type="character" w:customStyle="1" w:styleId="Quote1Char">
    <w:name w:val="Quote 1 Char"/>
    <w:link w:val="Quote1"/>
    <w:locked/>
    <w:rsid w:val="00E70F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cgi-bin/viewdoc/au/legis/vic/consol_act/paea1987254/s1.html" TargetMode="External"/><Relationship Id="rId5" Type="http://schemas.openxmlformats.org/officeDocument/2006/relationships/webSettings" Target="webSettings.xml"/><Relationship Id="rId10" Type="http://schemas.openxmlformats.org/officeDocument/2006/relationships/hyperlink" Target="http://www.austlii.edu.au/cgi-bin/viewdoc/au/legis/vic/consol_act/paea1987254/s1.html" TargetMode="External"/><Relationship Id="rId4" Type="http://schemas.openxmlformats.org/officeDocument/2006/relationships/settings" Target="settings.xml"/><Relationship Id="rId9" Type="http://schemas.openxmlformats.org/officeDocument/2006/relationships/hyperlink" Target="http://www.austlii.edu.au/cgi-bin/viewdoc/au/legis/vic/consol_act/paea1987254/s1.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VCAT\WorkGroup\VCAT\Planning%20Decision%20Template%202016d%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9F13-78C0-424F-B5A4-85F7DD81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Decision Template 2016d (Full Text).dotx</Template>
  <TotalTime>2</TotalTime>
  <Pages>19</Pages>
  <Words>6046</Words>
  <Characters>31903</Characters>
  <Application>Microsoft Office Word</Application>
  <DocSecurity>8</DocSecurity>
  <Lines>265</Lines>
  <Paragraphs>75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37874</CharactersWithSpaces>
  <SharedDoc>false</SharedDoc>
  <HLinks>
    <vt:vector size="18" baseType="variant">
      <vt:variant>
        <vt:i4>7929926</vt:i4>
      </vt:variant>
      <vt:variant>
        <vt:i4>6</vt:i4>
      </vt:variant>
      <vt:variant>
        <vt:i4>0</vt:i4>
      </vt:variant>
      <vt:variant>
        <vt:i4>5</vt:i4>
      </vt:variant>
      <vt:variant>
        <vt:lpwstr>http://www.austlii.edu.au/cgi-bin/viewdoc/au/legis/vic/consol_act/paea1987254/s1.html</vt:lpwstr>
      </vt:variant>
      <vt:variant>
        <vt:lpwstr/>
      </vt:variant>
      <vt:variant>
        <vt:i4>7929926</vt:i4>
      </vt:variant>
      <vt:variant>
        <vt:i4>3</vt:i4>
      </vt:variant>
      <vt:variant>
        <vt:i4>0</vt:i4>
      </vt:variant>
      <vt:variant>
        <vt:i4>5</vt:i4>
      </vt:variant>
      <vt:variant>
        <vt:lpwstr>http://www.austlii.edu.au/cgi-bin/viewdoc/au/legis/vic/consol_act/paea1987254/s1.html</vt:lpwstr>
      </vt:variant>
      <vt:variant>
        <vt:lpwstr/>
      </vt:variant>
      <vt:variant>
        <vt:i4>7929926</vt:i4>
      </vt:variant>
      <vt:variant>
        <vt:i4>0</vt:i4>
      </vt:variant>
      <vt:variant>
        <vt:i4>0</vt:i4>
      </vt:variant>
      <vt:variant>
        <vt:i4>5</vt:i4>
      </vt:variant>
      <vt:variant>
        <vt:lpwstr>http://www.austlii.edu.au/cgi-bin/viewdoc/au/legis/vic/consol_act/paea1987254/s1.html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Rahel Baum</dc:creator>
  <cp:keywords/>
  <cp:lastModifiedBy>Rahel Baum (CSV)</cp:lastModifiedBy>
  <cp:revision>2</cp:revision>
  <cp:lastPrinted>2019-02-25T22:23:00Z</cp:lastPrinted>
  <dcterms:created xsi:type="dcterms:W3CDTF">2019-02-28T00:11:00Z</dcterms:created>
  <dcterms:modified xsi:type="dcterms:W3CDTF">2019-02-28T00:11:00Z</dcterms:modified>
</cp:coreProperties>
</file>