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3F592" w14:textId="25BCA031" w:rsidR="009C45DA" w:rsidRPr="00B44E80" w:rsidRDefault="00095320">
      <w:pPr>
        <w:pStyle w:val="TitlePage1"/>
      </w:pPr>
      <w:bookmarkStart w:id="0" w:name="_GoBack"/>
      <w:bookmarkEnd w:id="0"/>
      <w:r>
        <w:rPr>
          <w:noProof/>
        </w:rPr>
        <w:drawing>
          <wp:anchor distT="0" distB="0" distL="114300" distR="114300" simplePos="0" relativeHeight="251658240" behindDoc="1" locked="0" layoutInCell="1" allowOverlap="1" wp14:anchorId="505A3A90" wp14:editId="14FF0857">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C45DA" w:rsidRPr="00B44E80">
        <w:t>VICTORIAN CIVIL AND ADMINISTRATIVE TRIBUNAL</w:t>
      </w:r>
    </w:p>
    <w:p w14:paraId="50E0B8BB" w14:textId="0DD610E2" w:rsidR="009C45DA" w:rsidRPr="00B44E80" w:rsidRDefault="005C18B7">
      <w:pPr>
        <w:pStyle w:val="TitlePage1"/>
      </w:pPr>
      <w:bookmarkStart w:id="1" w:name="Division"/>
      <w:bookmarkEnd w:id="1"/>
      <w:r w:rsidRPr="00B44E80">
        <w:t xml:space="preserve">planning and environment </w:t>
      </w:r>
      <w:r w:rsidR="009C45DA" w:rsidRPr="00B44E80">
        <w:t>DIVISION</w:t>
      </w:r>
    </w:p>
    <w:tbl>
      <w:tblPr>
        <w:tblW w:w="5000" w:type="pct"/>
        <w:tblLook w:val="0000" w:firstRow="0" w:lastRow="0" w:firstColumn="0" w:lastColumn="0" w:noHBand="0" w:noVBand="0"/>
      </w:tblPr>
      <w:tblGrid>
        <w:gridCol w:w="4494"/>
        <w:gridCol w:w="4011"/>
      </w:tblGrid>
      <w:tr w:rsidR="009C45DA" w:rsidRPr="00B44E80" w14:paraId="01A1E2E5" w14:textId="77777777">
        <w:trPr>
          <w:cantSplit/>
        </w:trPr>
        <w:tc>
          <w:tcPr>
            <w:tcW w:w="2642" w:type="pct"/>
          </w:tcPr>
          <w:p w14:paraId="581BBDD7" w14:textId="77777777" w:rsidR="009C45DA" w:rsidRPr="00B44E80" w:rsidRDefault="009C45DA">
            <w:pPr>
              <w:pStyle w:val="TitlePage2"/>
            </w:pPr>
            <w:bookmarkStart w:id="2" w:name="SubDivision"/>
            <w:bookmarkEnd w:id="2"/>
            <w:r w:rsidRPr="00B44E80">
              <w:t>planning and environment LIST</w:t>
            </w:r>
          </w:p>
        </w:tc>
        <w:tc>
          <w:tcPr>
            <w:tcW w:w="2358" w:type="pct"/>
          </w:tcPr>
          <w:p w14:paraId="3B4ECE20" w14:textId="33444233" w:rsidR="009C45DA" w:rsidRPr="00B44E80" w:rsidRDefault="009C45DA">
            <w:pPr>
              <w:pStyle w:val="TitlePage3"/>
            </w:pPr>
            <w:bookmarkStart w:id="3" w:name="FileNo1"/>
            <w:bookmarkEnd w:id="3"/>
            <w:r w:rsidRPr="00B44E80">
              <w:t xml:space="preserve">vcat reference No. </w:t>
            </w:r>
            <w:r w:rsidR="0013062E" w:rsidRPr="00B44E80">
              <w:t>P2144/2019</w:t>
            </w:r>
          </w:p>
          <w:p w14:paraId="5946867A" w14:textId="4D418E60" w:rsidR="009C45DA" w:rsidRPr="00B44E80" w:rsidRDefault="009C45DA">
            <w:pPr>
              <w:pStyle w:val="TitlePage3"/>
            </w:pPr>
            <w:r w:rsidRPr="00B44E80">
              <w:t xml:space="preserve">Permit Application no. </w:t>
            </w:r>
            <w:r w:rsidR="0013062E" w:rsidRPr="00B44E80">
              <w:t>TPA/49</w:t>
            </w:r>
            <w:r w:rsidR="00565FBC" w:rsidRPr="00B44E80">
              <w:t>8</w:t>
            </w:r>
            <w:r w:rsidR="0013062E" w:rsidRPr="00B44E80">
              <w:t>7</w:t>
            </w:r>
            <w:r w:rsidR="00565FBC" w:rsidRPr="00B44E80">
              <w:t>6</w:t>
            </w:r>
          </w:p>
        </w:tc>
      </w:tr>
    </w:tbl>
    <w:p w14:paraId="35D866FE" w14:textId="77777777" w:rsidR="009C45DA" w:rsidRPr="00B44E80" w:rsidRDefault="009C45DA">
      <w:bookmarkStart w:id="4" w:name="Catchwords"/>
      <w:bookmarkEnd w:id="4"/>
    </w:p>
    <w:tbl>
      <w:tblPr>
        <w:tblW w:w="5000" w:type="pct"/>
        <w:tblLook w:val="0000" w:firstRow="0" w:lastRow="0" w:firstColumn="0" w:lastColumn="0" w:noHBand="0" w:noVBand="0"/>
      </w:tblPr>
      <w:tblGrid>
        <w:gridCol w:w="3441"/>
        <w:gridCol w:w="5064"/>
      </w:tblGrid>
      <w:tr w:rsidR="00AD430F" w:rsidRPr="00B44E80" w14:paraId="5667B6A6" w14:textId="77777777">
        <w:tc>
          <w:tcPr>
            <w:tcW w:w="2023" w:type="pct"/>
          </w:tcPr>
          <w:p w14:paraId="49F401B4" w14:textId="77777777" w:rsidR="00AD430F" w:rsidRPr="00B44E80" w:rsidRDefault="00AD430F" w:rsidP="00AD430F">
            <w:pPr>
              <w:pStyle w:val="TitlePage2"/>
            </w:pPr>
            <w:bookmarkStart w:id="5" w:name="DELcomplainants2"/>
            <w:bookmarkStart w:id="6" w:name="DELapp"/>
            <w:bookmarkStart w:id="7" w:name="DELitmo"/>
            <w:bookmarkStart w:id="8" w:name="DELcar"/>
            <w:r w:rsidRPr="00B44E80">
              <w:t>APPLICANT</w:t>
            </w:r>
          </w:p>
        </w:tc>
        <w:tc>
          <w:tcPr>
            <w:tcW w:w="2977" w:type="pct"/>
          </w:tcPr>
          <w:p w14:paraId="30F231A8" w14:textId="086C2F7E" w:rsidR="00AD430F" w:rsidRPr="00B44E80" w:rsidRDefault="00AD430F" w:rsidP="00AD430F">
            <w:pPr>
              <w:pStyle w:val="TitlePagetext"/>
            </w:pPr>
            <w:r w:rsidRPr="00B44E80">
              <w:t>Peter Mes</w:t>
            </w:r>
            <w:r w:rsidR="009425DF" w:rsidRPr="00B44E80">
              <w:t>e</w:t>
            </w:r>
            <w:r w:rsidRPr="00B44E80">
              <w:t>ha</w:t>
            </w:r>
          </w:p>
        </w:tc>
      </w:tr>
      <w:tr w:rsidR="00AD430F" w:rsidRPr="00B44E80" w14:paraId="324567E1" w14:textId="77777777">
        <w:tc>
          <w:tcPr>
            <w:tcW w:w="2023" w:type="pct"/>
          </w:tcPr>
          <w:p w14:paraId="63D6D61E" w14:textId="77777777" w:rsidR="00AD430F" w:rsidRPr="00B44E80" w:rsidRDefault="00AD430F" w:rsidP="00AD430F">
            <w:pPr>
              <w:pStyle w:val="TitlePage2"/>
            </w:pPr>
            <w:r w:rsidRPr="00B44E80">
              <w:t>responsible authority</w:t>
            </w:r>
          </w:p>
        </w:tc>
        <w:tc>
          <w:tcPr>
            <w:tcW w:w="2977" w:type="pct"/>
          </w:tcPr>
          <w:p w14:paraId="43E1389B" w14:textId="6073408F" w:rsidR="00AD430F" w:rsidRPr="00B44E80" w:rsidRDefault="00AD430F" w:rsidP="00AD430F">
            <w:pPr>
              <w:pStyle w:val="TitlePagetext"/>
            </w:pPr>
            <w:r w:rsidRPr="00B44E80">
              <w:t>Monash City Council</w:t>
            </w:r>
          </w:p>
        </w:tc>
      </w:tr>
      <w:tr w:rsidR="00AD430F" w:rsidRPr="00B44E80" w14:paraId="7ADF190A" w14:textId="77777777">
        <w:tc>
          <w:tcPr>
            <w:tcW w:w="2023" w:type="pct"/>
          </w:tcPr>
          <w:p w14:paraId="4774EFC3" w14:textId="77777777" w:rsidR="00AD430F" w:rsidRPr="00B44E80" w:rsidRDefault="00AD430F" w:rsidP="00AD430F">
            <w:pPr>
              <w:pStyle w:val="TitlePage2"/>
            </w:pPr>
            <w:bookmarkStart w:id="9" w:name="DELrespondents2"/>
            <w:bookmarkStart w:id="10" w:name="DELsubjectland"/>
            <w:bookmarkEnd w:id="5"/>
            <w:bookmarkEnd w:id="6"/>
            <w:r w:rsidRPr="00B44E80">
              <w:t>SUBJECT LAND</w:t>
            </w:r>
          </w:p>
        </w:tc>
        <w:tc>
          <w:tcPr>
            <w:tcW w:w="2977" w:type="pct"/>
          </w:tcPr>
          <w:p w14:paraId="6C1EF663" w14:textId="4080A875" w:rsidR="00AD430F" w:rsidRPr="00B44E80" w:rsidRDefault="00AD430F" w:rsidP="00AD430F">
            <w:pPr>
              <w:pStyle w:val="TitlePagetext"/>
            </w:pPr>
            <w:bookmarkStart w:id="11" w:name="subjectland"/>
            <w:bookmarkEnd w:id="11"/>
            <w:r w:rsidRPr="00B44E80">
              <w:t>4 Gordon Avenue, Oakleigh East</w:t>
            </w:r>
          </w:p>
        </w:tc>
      </w:tr>
      <w:tr w:rsidR="00BF12C7" w:rsidRPr="00B44E80" w14:paraId="31C007CF" w14:textId="77777777">
        <w:tc>
          <w:tcPr>
            <w:tcW w:w="2023" w:type="pct"/>
          </w:tcPr>
          <w:p w14:paraId="5DBD4F71" w14:textId="2C55BFAC" w:rsidR="00BF12C7" w:rsidRPr="00B44E80" w:rsidRDefault="00BF12C7" w:rsidP="00BF12C7">
            <w:pPr>
              <w:pStyle w:val="TitlePage2"/>
            </w:pPr>
            <w:r w:rsidRPr="00B44E80">
              <w:t>WHERE HELD</w:t>
            </w:r>
          </w:p>
        </w:tc>
        <w:tc>
          <w:tcPr>
            <w:tcW w:w="2977" w:type="pct"/>
          </w:tcPr>
          <w:p w14:paraId="429D9092" w14:textId="70A6E8A5" w:rsidR="00BF12C7" w:rsidRPr="00B44E80" w:rsidRDefault="00BF12C7" w:rsidP="00BF12C7">
            <w:pPr>
              <w:pStyle w:val="TitlePagetext"/>
            </w:pPr>
            <w:r w:rsidRPr="00B44E80">
              <w:t>Melbourne</w:t>
            </w:r>
          </w:p>
        </w:tc>
      </w:tr>
      <w:tr w:rsidR="00AD430F" w:rsidRPr="00B44E80" w14:paraId="280872F5" w14:textId="77777777">
        <w:tc>
          <w:tcPr>
            <w:tcW w:w="2023" w:type="pct"/>
          </w:tcPr>
          <w:p w14:paraId="738D6151" w14:textId="77777777" w:rsidR="00AD430F" w:rsidRPr="00B44E80" w:rsidRDefault="00AD430F" w:rsidP="00AD430F">
            <w:pPr>
              <w:pStyle w:val="TitlePage2"/>
            </w:pPr>
            <w:bookmarkStart w:id="12" w:name="INSresponsibleAuthority"/>
            <w:bookmarkEnd w:id="7"/>
            <w:bookmarkEnd w:id="8"/>
            <w:bookmarkEnd w:id="9"/>
            <w:bookmarkEnd w:id="10"/>
            <w:bookmarkEnd w:id="12"/>
            <w:r w:rsidRPr="00B44E80">
              <w:t>BEFORE</w:t>
            </w:r>
          </w:p>
        </w:tc>
        <w:tc>
          <w:tcPr>
            <w:tcW w:w="2977" w:type="pct"/>
          </w:tcPr>
          <w:p w14:paraId="11DB6042" w14:textId="0536E247" w:rsidR="00AD430F" w:rsidRPr="00B44E80" w:rsidRDefault="00C44AE2" w:rsidP="00AD430F">
            <w:pPr>
              <w:pStyle w:val="TitlePagetext"/>
            </w:pPr>
            <w:bookmarkStart w:id="13" w:name="Before"/>
            <w:bookmarkEnd w:id="13"/>
            <w:r w:rsidRPr="00B44E80">
              <w:t>S</w:t>
            </w:r>
            <w:r w:rsidR="005C18B7" w:rsidRPr="00B44E80">
              <w:t>arah</w:t>
            </w:r>
            <w:r w:rsidRPr="00B44E80">
              <w:t xml:space="preserve"> McDonald, Member</w:t>
            </w:r>
          </w:p>
        </w:tc>
      </w:tr>
      <w:tr w:rsidR="009C45DA" w:rsidRPr="00B44E80" w14:paraId="1C1BE94F" w14:textId="77777777">
        <w:tc>
          <w:tcPr>
            <w:tcW w:w="2023" w:type="pct"/>
          </w:tcPr>
          <w:p w14:paraId="321B0643" w14:textId="77777777" w:rsidR="009C45DA" w:rsidRPr="00B44E80" w:rsidRDefault="009C45DA">
            <w:pPr>
              <w:pStyle w:val="TitlePage2"/>
            </w:pPr>
            <w:r w:rsidRPr="00B44E80">
              <w:t>DATE OF HEARING</w:t>
            </w:r>
          </w:p>
        </w:tc>
        <w:tc>
          <w:tcPr>
            <w:tcW w:w="2977" w:type="pct"/>
          </w:tcPr>
          <w:p w14:paraId="51CC0D02" w14:textId="10EDB380" w:rsidR="009C45DA" w:rsidRPr="00B44E80" w:rsidRDefault="00BF12C7">
            <w:pPr>
              <w:pStyle w:val="TitlePagetext"/>
            </w:pPr>
            <w:bookmarkStart w:id="14" w:name="HearingDate"/>
            <w:bookmarkEnd w:id="14"/>
            <w:r w:rsidRPr="00B44E80">
              <w:t>18 September 2020</w:t>
            </w:r>
          </w:p>
        </w:tc>
      </w:tr>
      <w:tr w:rsidR="009C45DA" w:rsidRPr="00B44E80" w14:paraId="66A59BDD" w14:textId="77777777">
        <w:tc>
          <w:tcPr>
            <w:tcW w:w="2023" w:type="pct"/>
          </w:tcPr>
          <w:p w14:paraId="75D23E88" w14:textId="77777777" w:rsidR="009C45DA" w:rsidRPr="00B44E80" w:rsidRDefault="009C45DA">
            <w:pPr>
              <w:pStyle w:val="TitlePage2"/>
            </w:pPr>
            <w:r w:rsidRPr="00B44E80">
              <w:t>DATE OF ORDER</w:t>
            </w:r>
          </w:p>
        </w:tc>
        <w:tc>
          <w:tcPr>
            <w:tcW w:w="2977" w:type="pct"/>
          </w:tcPr>
          <w:p w14:paraId="1DB5E883" w14:textId="56AB61B0" w:rsidR="009C45DA" w:rsidRPr="00B44E80" w:rsidRDefault="005C18B7">
            <w:pPr>
              <w:pStyle w:val="TitlePagetext"/>
            </w:pPr>
            <w:bookmarkStart w:id="15" w:name="DateOrder"/>
            <w:bookmarkEnd w:id="15"/>
            <w:r w:rsidRPr="00B44E80">
              <w:t>28 September 2020</w:t>
            </w:r>
          </w:p>
        </w:tc>
      </w:tr>
      <w:tr w:rsidR="009C45DA" w:rsidRPr="00B44E80" w14:paraId="465C91C3" w14:textId="77777777">
        <w:tc>
          <w:tcPr>
            <w:tcW w:w="2023" w:type="pct"/>
          </w:tcPr>
          <w:p w14:paraId="7A5968EA" w14:textId="77777777" w:rsidR="009C45DA" w:rsidRPr="00B44E80" w:rsidRDefault="009C45DA">
            <w:pPr>
              <w:pStyle w:val="TitlePage2"/>
            </w:pPr>
            <w:r w:rsidRPr="00B44E80">
              <w:t>CITATION</w:t>
            </w:r>
          </w:p>
        </w:tc>
        <w:tc>
          <w:tcPr>
            <w:tcW w:w="2977" w:type="pct"/>
          </w:tcPr>
          <w:p w14:paraId="531ACDF8" w14:textId="62D5876C" w:rsidR="009C45DA" w:rsidRPr="00B44E80" w:rsidRDefault="00397DD1">
            <w:pPr>
              <w:pStyle w:val="TitlePagetext"/>
            </w:pPr>
            <w:r w:rsidRPr="00B44E80">
              <w:t>Meseha v Monash CC [2020] VCAT 1084</w:t>
            </w:r>
          </w:p>
        </w:tc>
      </w:tr>
    </w:tbl>
    <w:p w14:paraId="3E6D3348" w14:textId="7E5527B2" w:rsidR="001B18C2" w:rsidRPr="00B44E80" w:rsidRDefault="001B18C2" w:rsidP="001B18C2"/>
    <w:p w14:paraId="23E0D000" w14:textId="77777777" w:rsidR="001B18C2" w:rsidRPr="00B44E80" w:rsidRDefault="001B18C2" w:rsidP="001B18C2"/>
    <w:p w14:paraId="6850CA8B" w14:textId="6F0F70F4" w:rsidR="009C45DA" w:rsidRPr="00B44E80" w:rsidRDefault="009C45DA">
      <w:pPr>
        <w:pStyle w:val="Heading1"/>
      </w:pPr>
      <w:r w:rsidRPr="00B44E80">
        <w:t>Order</w:t>
      </w:r>
    </w:p>
    <w:p w14:paraId="4B3C7308" w14:textId="77777777" w:rsidR="00FC7874" w:rsidRPr="00B44E80" w:rsidRDefault="00FC7874" w:rsidP="00FC7874">
      <w:pPr>
        <w:pStyle w:val="Heading3"/>
      </w:pPr>
      <w:r w:rsidRPr="00B44E80">
        <w:t xml:space="preserve">Amend permit application </w:t>
      </w:r>
    </w:p>
    <w:p w14:paraId="6915D3F8" w14:textId="77777777" w:rsidR="00FC7874" w:rsidRPr="00B44E80" w:rsidRDefault="00FC7874" w:rsidP="008315DC">
      <w:pPr>
        <w:pStyle w:val="Order2"/>
        <w:numPr>
          <w:ilvl w:val="0"/>
          <w:numId w:val="9"/>
        </w:numPr>
      </w:pPr>
      <w:r w:rsidRPr="00B44E80">
        <w:rPr>
          <w:lang w:val="en-GB"/>
        </w:rPr>
        <w:t xml:space="preserve">Pursuant to clause 64 of Schedule 1 of the </w:t>
      </w:r>
      <w:r w:rsidRPr="00B44E80">
        <w:rPr>
          <w:i/>
          <w:lang w:val="en-GB"/>
        </w:rPr>
        <w:t xml:space="preserve">Victorian Civil &amp; Administrative Tribunal Act </w:t>
      </w:r>
      <w:r w:rsidRPr="00B44E80">
        <w:rPr>
          <w:i/>
        </w:rPr>
        <w:t>1998</w:t>
      </w:r>
      <w:r w:rsidRPr="00B44E80">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6"/>
        <w:gridCol w:w="5029"/>
      </w:tblGrid>
      <w:tr w:rsidR="00FC7874" w:rsidRPr="00B44E80" w14:paraId="755986F0" w14:textId="77777777" w:rsidTr="00DF219B">
        <w:tc>
          <w:tcPr>
            <w:tcW w:w="3476" w:type="dxa"/>
            <w:hideMark/>
          </w:tcPr>
          <w:p w14:paraId="0571B7AD" w14:textId="77777777" w:rsidR="00FC7874" w:rsidRPr="00B44E80" w:rsidRDefault="00FC7874" w:rsidP="003F4F49">
            <w:pPr>
              <w:pStyle w:val="Para5"/>
              <w:numPr>
                <w:ilvl w:val="0"/>
                <w:numId w:val="6"/>
              </w:numPr>
            </w:pPr>
            <w:r w:rsidRPr="00B44E80">
              <w:t>Prepared by:</w:t>
            </w:r>
          </w:p>
        </w:tc>
        <w:tc>
          <w:tcPr>
            <w:tcW w:w="5029" w:type="dxa"/>
          </w:tcPr>
          <w:p w14:paraId="76A00E82" w14:textId="0DB4439D" w:rsidR="00FC7874" w:rsidRPr="00B44E80" w:rsidRDefault="00DF219B" w:rsidP="003F4F49">
            <w:pPr>
              <w:pStyle w:val="Para2"/>
              <w:ind w:left="0"/>
            </w:pPr>
            <w:r w:rsidRPr="00B44E80">
              <w:t>Archiphor Archite</w:t>
            </w:r>
            <w:r w:rsidR="002328EF" w:rsidRPr="00B44E80">
              <w:t>c</w:t>
            </w:r>
            <w:r w:rsidRPr="00B44E80">
              <w:t>ts.</w:t>
            </w:r>
          </w:p>
        </w:tc>
      </w:tr>
      <w:tr w:rsidR="00DF219B" w:rsidRPr="00B44E80" w14:paraId="2152EE4A" w14:textId="77777777" w:rsidTr="00DF219B">
        <w:tc>
          <w:tcPr>
            <w:tcW w:w="3476" w:type="dxa"/>
            <w:hideMark/>
          </w:tcPr>
          <w:p w14:paraId="5E2ECC04" w14:textId="77777777" w:rsidR="00DF219B" w:rsidRPr="00B44E80" w:rsidRDefault="00DF219B" w:rsidP="003F4F49">
            <w:pPr>
              <w:pStyle w:val="Para5"/>
              <w:numPr>
                <w:ilvl w:val="0"/>
                <w:numId w:val="6"/>
              </w:numPr>
            </w:pPr>
            <w:r w:rsidRPr="00B44E80">
              <w:t>Drawing numbers:</w:t>
            </w:r>
          </w:p>
        </w:tc>
        <w:tc>
          <w:tcPr>
            <w:tcW w:w="5029" w:type="dxa"/>
          </w:tcPr>
          <w:p w14:paraId="44558EC5" w14:textId="7AF58B99" w:rsidR="00DF219B" w:rsidRPr="00B44E80" w:rsidRDefault="002328EF" w:rsidP="003F4F49">
            <w:pPr>
              <w:pStyle w:val="Para2"/>
              <w:ind w:left="0"/>
            </w:pPr>
            <w:r w:rsidRPr="00B44E80">
              <w:t>TP</w:t>
            </w:r>
            <w:r w:rsidR="005C1BE3" w:rsidRPr="00B44E80">
              <w:t>A01 – TPA08</w:t>
            </w:r>
          </w:p>
        </w:tc>
      </w:tr>
      <w:tr w:rsidR="00DF219B" w:rsidRPr="00B44E80" w14:paraId="2A48E2D0" w14:textId="77777777" w:rsidTr="00DF219B">
        <w:tc>
          <w:tcPr>
            <w:tcW w:w="3476" w:type="dxa"/>
          </w:tcPr>
          <w:p w14:paraId="68CE9A74" w14:textId="5EEC93F6" w:rsidR="00DF219B" w:rsidRPr="00B44E80" w:rsidRDefault="00DF219B" w:rsidP="003F4F49">
            <w:pPr>
              <w:pStyle w:val="Para5"/>
              <w:numPr>
                <w:ilvl w:val="0"/>
                <w:numId w:val="6"/>
              </w:numPr>
            </w:pPr>
            <w:r w:rsidRPr="00B44E80">
              <w:t>Revision:</w:t>
            </w:r>
          </w:p>
        </w:tc>
        <w:tc>
          <w:tcPr>
            <w:tcW w:w="5029" w:type="dxa"/>
          </w:tcPr>
          <w:p w14:paraId="590830E7" w14:textId="0392E121" w:rsidR="00DF219B" w:rsidRPr="00B44E80" w:rsidRDefault="00DF219B" w:rsidP="003F4F49">
            <w:pPr>
              <w:pStyle w:val="Para2"/>
              <w:ind w:left="0"/>
            </w:pPr>
            <w:r w:rsidRPr="00B44E80">
              <w:t>A</w:t>
            </w:r>
            <w:r w:rsidR="001B48F8" w:rsidRPr="00B44E80">
              <w:t>, VCAT Circulation Issue</w:t>
            </w:r>
          </w:p>
        </w:tc>
      </w:tr>
      <w:tr w:rsidR="00FC7874" w:rsidRPr="00B44E80" w14:paraId="7A1C7491" w14:textId="77777777" w:rsidTr="00DF219B">
        <w:tc>
          <w:tcPr>
            <w:tcW w:w="3476" w:type="dxa"/>
            <w:hideMark/>
          </w:tcPr>
          <w:p w14:paraId="7E543E15" w14:textId="77777777" w:rsidR="00FC7874" w:rsidRPr="00B44E80" w:rsidRDefault="00FC7874" w:rsidP="003F4F49">
            <w:pPr>
              <w:pStyle w:val="Para5"/>
              <w:numPr>
                <w:ilvl w:val="0"/>
                <w:numId w:val="6"/>
              </w:numPr>
            </w:pPr>
            <w:r w:rsidRPr="00B44E80">
              <w:t>Dated:</w:t>
            </w:r>
          </w:p>
        </w:tc>
        <w:tc>
          <w:tcPr>
            <w:tcW w:w="5029" w:type="dxa"/>
          </w:tcPr>
          <w:p w14:paraId="00DEB042" w14:textId="5CD7F08D" w:rsidR="00FC7874" w:rsidRPr="00B44E80" w:rsidRDefault="001B48F8" w:rsidP="003F4F49">
            <w:pPr>
              <w:pStyle w:val="Para2"/>
              <w:ind w:left="0"/>
            </w:pPr>
            <w:r w:rsidRPr="00B44E80">
              <w:t>17/03/2020</w:t>
            </w:r>
          </w:p>
        </w:tc>
      </w:tr>
    </w:tbl>
    <w:p w14:paraId="7DE659AD" w14:textId="0559E883" w:rsidR="000855FB" w:rsidRPr="00B44E80" w:rsidRDefault="000855FB" w:rsidP="000855FB">
      <w:pPr>
        <w:pStyle w:val="Heading3"/>
      </w:pPr>
      <w:r w:rsidRPr="00B44E80">
        <w:t>Permit granted</w:t>
      </w:r>
    </w:p>
    <w:p w14:paraId="090B3D1C" w14:textId="11AF68D0" w:rsidR="000855FB" w:rsidRPr="00B44E80" w:rsidRDefault="000855FB" w:rsidP="008315DC">
      <w:pPr>
        <w:pStyle w:val="Order2"/>
        <w:numPr>
          <w:ilvl w:val="0"/>
          <w:numId w:val="9"/>
        </w:numPr>
        <w:tabs>
          <w:tab w:val="clear" w:pos="567"/>
        </w:tabs>
      </w:pPr>
      <w:r w:rsidRPr="00B44E80">
        <w:t>In application P</w:t>
      </w:r>
      <w:r w:rsidR="00FE26F2" w:rsidRPr="00B44E80">
        <w:t>2144</w:t>
      </w:r>
      <w:r w:rsidRPr="00B44E80">
        <w:t>/20</w:t>
      </w:r>
      <w:r w:rsidR="00FE26F2" w:rsidRPr="00B44E80">
        <w:t>19</w:t>
      </w:r>
      <w:r w:rsidRPr="00B44E80">
        <w:t xml:space="preserve"> the decision of the responsible authority is set aside.</w:t>
      </w:r>
    </w:p>
    <w:p w14:paraId="0F340702" w14:textId="412F1F76" w:rsidR="000855FB" w:rsidRPr="00B44E80" w:rsidRDefault="000855FB" w:rsidP="008315DC">
      <w:pPr>
        <w:pStyle w:val="Order2"/>
        <w:numPr>
          <w:ilvl w:val="0"/>
          <w:numId w:val="9"/>
        </w:numPr>
        <w:tabs>
          <w:tab w:val="clear" w:pos="567"/>
        </w:tabs>
      </w:pPr>
      <w:r w:rsidRPr="00B44E80">
        <w:t xml:space="preserve">In planning permit application </w:t>
      </w:r>
      <w:r w:rsidR="00FE26F2" w:rsidRPr="00B44E80">
        <w:t>TPA/49876</w:t>
      </w:r>
      <w:r w:rsidRPr="00B44E80">
        <w:t xml:space="preserve"> a permit is granted and directed to be issued for the land at </w:t>
      </w:r>
      <w:r w:rsidR="00935B24" w:rsidRPr="00B44E80">
        <w:t xml:space="preserve">4 Gordon Avenue, Oakleigh East, </w:t>
      </w:r>
      <w:r w:rsidRPr="00B44E80">
        <w:t>in accordance with the endorsed plans and the conditions set out in Appendix A.  The permit allows:</w:t>
      </w:r>
    </w:p>
    <w:p w14:paraId="26A0E980" w14:textId="3F420E87" w:rsidR="00F45051" w:rsidRPr="00B44E80" w:rsidRDefault="00CB72B8" w:rsidP="003F4F49">
      <w:pPr>
        <w:pStyle w:val="Para5"/>
        <w:numPr>
          <w:ilvl w:val="0"/>
          <w:numId w:val="6"/>
        </w:numPr>
      </w:pPr>
      <w:r w:rsidRPr="00B44E80">
        <w:t>Construction</w:t>
      </w:r>
      <w:r w:rsidR="00935B24" w:rsidRPr="00B44E80">
        <w:t xml:space="preserve"> of three dwellings on a lot in the </w:t>
      </w:r>
      <w:r w:rsidRPr="00B44E80">
        <w:t>General Residential Zone – Schedule 3.</w:t>
      </w:r>
    </w:p>
    <w:p w14:paraId="062A9966" w14:textId="47535CD8" w:rsidR="009C45DA" w:rsidRPr="00B44E80" w:rsidRDefault="009C45DA"/>
    <w:p w14:paraId="641DAFB2" w14:textId="041E16FA" w:rsidR="003B0F36" w:rsidRPr="00B44E80" w:rsidRDefault="00095320">
      <w:r>
        <w:rPr>
          <w:noProof/>
        </w:rPr>
        <w:lastRenderedPageBreak/>
        <w:drawing>
          <wp:anchor distT="0" distB="0" distL="114300" distR="114300" simplePos="0" relativeHeight="251659264" behindDoc="1" locked="0" layoutInCell="1" allowOverlap="1" wp14:anchorId="116418B7" wp14:editId="49E6000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386C3466" w14:textId="7F468654" w:rsidR="008D16EF" w:rsidRPr="00B44E80" w:rsidRDefault="008D16EF"/>
    <w:p w14:paraId="4F9C4C0F" w14:textId="3A1ECBEB" w:rsidR="001B18C2" w:rsidRPr="00B44E80" w:rsidRDefault="001B18C2"/>
    <w:p w14:paraId="4A81C27F" w14:textId="77777777" w:rsidR="001B18C2" w:rsidRPr="00B44E80" w:rsidRDefault="001B18C2"/>
    <w:tbl>
      <w:tblPr>
        <w:tblW w:w="5000" w:type="pct"/>
        <w:tblLook w:val="0000" w:firstRow="0" w:lastRow="0" w:firstColumn="0" w:lastColumn="0" w:noHBand="0" w:noVBand="0"/>
      </w:tblPr>
      <w:tblGrid>
        <w:gridCol w:w="2835"/>
        <w:gridCol w:w="2836"/>
        <w:gridCol w:w="2834"/>
      </w:tblGrid>
      <w:tr w:rsidR="009C45DA" w:rsidRPr="00B44E80" w14:paraId="4102A2DC" w14:textId="77777777" w:rsidTr="00835405">
        <w:tc>
          <w:tcPr>
            <w:tcW w:w="1667" w:type="pct"/>
          </w:tcPr>
          <w:p w14:paraId="76B71E2D" w14:textId="3027406D" w:rsidR="009C45DA" w:rsidRPr="00B44E80" w:rsidRDefault="00044813">
            <w:pPr>
              <w:tabs>
                <w:tab w:val="left" w:pos="1515"/>
              </w:tabs>
              <w:rPr>
                <w:b/>
              </w:rPr>
            </w:pPr>
            <w:r w:rsidRPr="00B44E80">
              <w:rPr>
                <w:b/>
              </w:rPr>
              <w:t>S</w:t>
            </w:r>
            <w:r w:rsidR="0023463E" w:rsidRPr="00B44E80">
              <w:rPr>
                <w:b/>
              </w:rPr>
              <w:t>arah</w:t>
            </w:r>
            <w:r w:rsidRPr="00B44E80">
              <w:rPr>
                <w:b/>
              </w:rPr>
              <w:t xml:space="preserve"> McDonald</w:t>
            </w:r>
          </w:p>
          <w:p w14:paraId="6A0D936D" w14:textId="663160A2" w:rsidR="00E81950" w:rsidRPr="00B44E80" w:rsidRDefault="00E81950">
            <w:pPr>
              <w:tabs>
                <w:tab w:val="left" w:pos="1515"/>
              </w:tabs>
              <w:rPr>
                <w:b/>
              </w:rPr>
            </w:pPr>
            <w:r w:rsidRPr="00B44E80">
              <w:rPr>
                <w:b/>
              </w:rPr>
              <w:t>Member</w:t>
            </w:r>
          </w:p>
        </w:tc>
        <w:tc>
          <w:tcPr>
            <w:tcW w:w="1667" w:type="pct"/>
          </w:tcPr>
          <w:p w14:paraId="25DDB48F" w14:textId="77777777" w:rsidR="009C45DA" w:rsidRPr="00B44E80" w:rsidRDefault="009C45DA"/>
        </w:tc>
        <w:tc>
          <w:tcPr>
            <w:tcW w:w="1666" w:type="pct"/>
          </w:tcPr>
          <w:p w14:paraId="4564A45F" w14:textId="77777777" w:rsidR="00394F81" w:rsidRPr="00B44E80" w:rsidRDefault="00394F81">
            <w:pPr>
              <w:rPr>
                <w:b/>
              </w:rPr>
            </w:pPr>
          </w:p>
        </w:tc>
      </w:tr>
    </w:tbl>
    <w:p w14:paraId="34A47A5A" w14:textId="77777777" w:rsidR="008D16EF" w:rsidRPr="00B44E80" w:rsidRDefault="008D16EF"/>
    <w:p w14:paraId="261F5C45" w14:textId="77777777" w:rsidR="008D16EF" w:rsidRPr="00B44E80" w:rsidRDefault="008D16EF"/>
    <w:p w14:paraId="1B811664" w14:textId="77777777" w:rsidR="008D16EF" w:rsidRPr="00B44E80" w:rsidRDefault="008D16EF"/>
    <w:p w14:paraId="5F930C18" w14:textId="48293E25" w:rsidR="008D16EF" w:rsidRPr="00B44E80" w:rsidRDefault="008D16EF"/>
    <w:p w14:paraId="088FFEF8" w14:textId="77777777" w:rsidR="008D16EF" w:rsidRPr="00B44E80" w:rsidRDefault="008D16EF" w:rsidP="008D16EF">
      <w:pPr>
        <w:pStyle w:val="Heading1"/>
      </w:pPr>
      <w:bookmarkStart w:id="16" w:name="DELappearances"/>
      <w:r w:rsidRPr="00B44E80">
        <w:t>Appearances</w:t>
      </w:r>
    </w:p>
    <w:tbl>
      <w:tblPr>
        <w:tblW w:w="5000" w:type="pct"/>
        <w:tblLook w:val="0000" w:firstRow="0" w:lastRow="0" w:firstColumn="0" w:lastColumn="0" w:noHBand="0" w:noVBand="0"/>
      </w:tblPr>
      <w:tblGrid>
        <w:gridCol w:w="3441"/>
        <w:gridCol w:w="5064"/>
      </w:tblGrid>
      <w:tr w:rsidR="008D16EF" w:rsidRPr="00B44E80" w14:paraId="72414473" w14:textId="77777777" w:rsidTr="007B5449">
        <w:trPr>
          <w:cantSplit/>
        </w:trPr>
        <w:tc>
          <w:tcPr>
            <w:tcW w:w="2023" w:type="pct"/>
          </w:tcPr>
          <w:p w14:paraId="1735340E" w14:textId="77777777" w:rsidR="008D16EF" w:rsidRPr="00B44E80" w:rsidRDefault="008D16EF" w:rsidP="007B5449">
            <w:pPr>
              <w:pStyle w:val="TitlePagetext"/>
            </w:pPr>
            <w:r w:rsidRPr="00B44E80">
              <w:t>For Applicant</w:t>
            </w:r>
          </w:p>
        </w:tc>
        <w:tc>
          <w:tcPr>
            <w:tcW w:w="2977" w:type="pct"/>
          </w:tcPr>
          <w:p w14:paraId="6F1ACD42" w14:textId="77777777" w:rsidR="008D16EF" w:rsidRPr="00B44E80" w:rsidRDefault="008D16EF" w:rsidP="007B5449">
            <w:pPr>
              <w:pStyle w:val="TitlePagetext"/>
            </w:pPr>
            <w:r w:rsidRPr="00B44E80">
              <w:t>Mr John Glossop, Glossop Planning</w:t>
            </w:r>
          </w:p>
        </w:tc>
      </w:tr>
      <w:tr w:rsidR="008D16EF" w:rsidRPr="00B44E80" w14:paraId="4513E459" w14:textId="77777777" w:rsidTr="007B5449">
        <w:trPr>
          <w:cantSplit/>
        </w:trPr>
        <w:tc>
          <w:tcPr>
            <w:tcW w:w="2023" w:type="pct"/>
          </w:tcPr>
          <w:p w14:paraId="4CEBEA23" w14:textId="77777777" w:rsidR="008D16EF" w:rsidRPr="00B44E80" w:rsidRDefault="008D16EF" w:rsidP="007B5449">
            <w:pPr>
              <w:pStyle w:val="TitlePagetext"/>
            </w:pPr>
            <w:r w:rsidRPr="00B44E80">
              <w:t>For Responsible Authority</w:t>
            </w:r>
          </w:p>
        </w:tc>
        <w:tc>
          <w:tcPr>
            <w:tcW w:w="2977" w:type="pct"/>
          </w:tcPr>
          <w:p w14:paraId="11820C05" w14:textId="77777777" w:rsidR="008D16EF" w:rsidRPr="00B44E80" w:rsidRDefault="008D16EF" w:rsidP="007B5449">
            <w:pPr>
              <w:pStyle w:val="TitlePagetext"/>
            </w:pPr>
            <w:r w:rsidRPr="00B44E80">
              <w:t>Mr James Turner, Monash City Council</w:t>
            </w:r>
          </w:p>
        </w:tc>
      </w:tr>
      <w:bookmarkEnd w:id="16"/>
    </w:tbl>
    <w:p w14:paraId="272BFD94" w14:textId="77777777" w:rsidR="008D16EF" w:rsidRPr="00B44E80" w:rsidRDefault="008D16EF" w:rsidP="008D16EF"/>
    <w:p w14:paraId="6E9AEAA9" w14:textId="77777777" w:rsidR="008D16EF" w:rsidRPr="00B44E80" w:rsidRDefault="008D16EF"/>
    <w:p w14:paraId="20556279" w14:textId="4883427F" w:rsidR="009C45DA" w:rsidRPr="00B44E80" w:rsidRDefault="0019532A" w:rsidP="008D16EF">
      <w:r w:rsidRPr="00B44E80">
        <w:br w:type="page"/>
      </w:r>
    </w:p>
    <w:p w14:paraId="2A31CAC5" w14:textId="2F9A659E" w:rsidR="00A90032" w:rsidRPr="00B44E80" w:rsidRDefault="00095320" w:rsidP="00506B85">
      <w:pPr>
        <w:pStyle w:val="Heading1"/>
      </w:pPr>
      <w:r>
        <w:rPr>
          <w:noProof/>
        </w:rPr>
        <w:lastRenderedPageBreak/>
        <w:drawing>
          <wp:anchor distT="0" distB="0" distL="114300" distR="114300" simplePos="0" relativeHeight="251660288" behindDoc="1" locked="0" layoutInCell="1" allowOverlap="1" wp14:anchorId="5139255B" wp14:editId="527713D3">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6A89" w:rsidRPr="00B44E80">
        <w:t>Information</w:t>
      </w:r>
    </w:p>
    <w:tbl>
      <w:tblPr>
        <w:tblW w:w="5000" w:type="pct"/>
        <w:tblLook w:val="0000" w:firstRow="0" w:lastRow="0" w:firstColumn="0" w:lastColumn="0" w:noHBand="0" w:noVBand="0"/>
      </w:tblPr>
      <w:tblGrid>
        <w:gridCol w:w="3441"/>
        <w:gridCol w:w="5064"/>
      </w:tblGrid>
      <w:tr w:rsidR="00F346DE" w:rsidRPr="00B44E80" w14:paraId="527AD5FA" w14:textId="77777777" w:rsidTr="00A45AD3">
        <w:trPr>
          <w:cantSplit/>
        </w:trPr>
        <w:tc>
          <w:tcPr>
            <w:tcW w:w="2023" w:type="pct"/>
          </w:tcPr>
          <w:p w14:paraId="533CB365" w14:textId="77777777" w:rsidR="00F346DE" w:rsidRPr="00B44E80" w:rsidRDefault="00F346DE" w:rsidP="00A45AD3">
            <w:pPr>
              <w:pStyle w:val="TitlePagetext"/>
            </w:pPr>
            <w:r w:rsidRPr="00B44E80">
              <w:t>Land Description</w:t>
            </w:r>
          </w:p>
        </w:tc>
        <w:tc>
          <w:tcPr>
            <w:tcW w:w="2977" w:type="pct"/>
          </w:tcPr>
          <w:p w14:paraId="3D0F50BB" w14:textId="20F5F005" w:rsidR="00843D78" w:rsidRPr="00B44E80" w:rsidRDefault="001C107D" w:rsidP="003C73C8">
            <w:pPr>
              <w:pStyle w:val="TitlePagetext"/>
            </w:pPr>
            <w:r w:rsidRPr="00B44E80">
              <w:t>The subject land is located on the eastern side of Gordon Avenue</w:t>
            </w:r>
            <w:r w:rsidR="003C73C8" w:rsidRPr="00B44E80">
              <w:t>,</w:t>
            </w:r>
            <w:r w:rsidR="00843D78" w:rsidRPr="00B44E80">
              <w:t xml:space="preserve"> in the residential area of Oakleigh</w:t>
            </w:r>
            <w:r w:rsidR="003C73C8" w:rsidRPr="00B44E80">
              <w:t xml:space="preserve"> </w:t>
            </w:r>
            <w:r w:rsidR="00843D78" w:rsidRPr="00B44E80">
              <w:t xml:space="preserve">East. </w:t>
            </w:r>
            <w:r w:rsidR="003C73C8" w:rsidRPr="00B44E80">
              <w:t xml:space="preserve"> </w:t>
            </w:r>
            <w:r w:rsidR="00843D78" w:rsidRPr="00B44E80">
              <w:t>The land is rectangular with a frontage of 16.76 metres, a</w:t>
            </w:r>
            <w:r w:rsidR="003C73C8" w:rsidRPr="00B44E80">
              <w:t xml:space="preserve"> </w:t>
            </w:r>
            <w:r w:rsidR="00843D78" w:rsidRPr="00B44E80">
              <w:t xml:space="preserve">maximum depth of 45.72 metres, </w:t>
            </w:r>
            <w:r w:rsidR="003C73C8" w:rsidRPr="00B44E80">
              <w:t>and</w:t>
            </w:r>
            <w:r w:rsidR="00843D78" w:rsidRPr="00B44E80">
              <w:t xml:space="preserve"> an area of 763 square metres</w:t>
            </w:r>
            <w:r w:rsidR="00A21EBA" w:rsidRPr="00B44E80">
              <w:t>.</w:t>
            </w:r>
          </w:p>
          <w:p w14:paraId="66B92627" w14:textId="29FD5194" w:rsidR="00A21EBA" w:rsidRPr="00B44E80" w:rsidRDefault="00A21EBA" w:rsidP="003C73C8">
            <w:pPr>
              <w:pStyle w:val="TitlePagetext"/>
            </w:pPr>
            <w:r w:rsidRPr="00B44E80">
              <w:t xml:space="preserve">The housing stock </w:t>
            </w:r>
            <w:r w:rsidR="00EF7DF9" w:rsidRPr="00B44E80">
              <w:t>in the surrounding area</w:t>
            </w:r>
            <w:r w:rsidRPr="00B44E80">
              <w:t xml:space="preserve"> consists predominantly of single storey dwellings, </w:t>
            </w:r>
            <w:r w:rsidR="00E23E94" w:rsidRPr="00B44E80">
              <w:t>with</w:t>
            </w:r>
            <w:r w:rsidRPr="00B44E80">
              <w:t xml:space="preserve"> some double storey dwellings and multi-</w:t>
            </w:r>
            <w:r w:rsidR="00EF7DF9" w:rsidRPr="00B44E80">
              <w:t>dwelling</w:t>
            </w:r>
            <w:r w:rsidRPr="00B44E80">
              <w:t xml:space="preserve"> infill development.</w:t>
            </w:r>
          </w:p>
          <w:p w14:paraId="5ABAFCA3" w14:textId="199569DC" w:rsidR="00496B55" w:rsidRPr="00B44E80" w:rsidRDefault="00496B55" w:rsidP="003C73C8">
            <w:pPr>
              <w:pStyle w:val="TitlePagetext"/>
            </w:pPr>
            <w:r w:rsidRPr="00B44E80">
              <w:t>The two adjoining properties to the north (2 Gordon Avenue and 2 Albany Road) each contain a single</w:t>
            </w:r>
            <w:r w:rsidR="00B10828" w:rsidRPr="00B44E80">
              <w:t>-storey detached house.  The adjoining property to the south (6 Gordon Avenue) is also occupied by a single-storey detached house.</w:t>
            </w:r>
          </w:p>
        </w:tc>
      </w:tr>
      <w:tr w:rsidR="000D53B2" w:rsidRPr="00B44E80" w14:paraId="04A082C9" w14:textId="77777777" w:rsidTr="005D2E29">
        <w:trPr>
          <w:cantSplit/>
        </w:trPr>
        <w:tc>
          <w:tcPr>
            <w:tcW w:w="2023" w:type="pct"/>
          </w:tcPr>
          <w:p w14:paraId="4D6FACB7" w14:textId="77777777" w:rsidR="000D53B2" w:rsidRPr="00B44E80" w:rsidRDefault="000D53B2" w:rsidP="005D2E29">
            <w:pPr>
              <w:pStyle w:val="TitlePagetext"/>
            </w:pPr>
            <w:r w:rsidRPr="00B44E80">
              <w:t>Descri</w:t>
            </w:r>
            <w:r w:rsidR="00D1534A" w:rsidRPr="00B44E80">
              <w:t>ption of Proposal</w:t>
            </w:r>
          </w:p>
        </w:tc>
        <w:tc>
          <w:tcPr>
            <w:tcW w:w="2977" w:type="pct"/>
          </w:tcPr>
          <w:p w14:paraId="5041BA9A" w14:textId="2AD1FA48" w:rsidR="000D53B2" w:rsidRPr="00B44E80" w:rsidRDefault="00595D39" w:rsidP="00506B85">
            <w:pPr>
              <w:pStyle w:val="TitlePagetext"/>
            </w:pPr>
            <w:r w:rsidRPr="00B44E80">
              <w:t xml:space="preserve">Construction of three double-storey dwellings.   The dwellings are arranged one behind the other down the length of the land, on the northern side of a communal </w:t>
            </w:r>
            <w:r w:rsidR="00CA1AA3" w:rsidRPr="00B44E80">
              <w:t>accessway</w:t>
            </w:r>
            <w:r w:rsidRPr="00B44E80">
              <w:t>.  The dwellings are attached at ground floor level.</w:t>
            </w:r>
          </w:p>
        </w:tc>
      </w:tr>
      <w:tr w:rsidR="00506B85" w:rsidRPr="00B44E80" w14:paraId="13BC4AA4" w14:textId="77777777" w:rsidTr="005D2E29">
        <w:trPr>
          <w:cantSplit/>
        </w:trPr>
        <w:tc>
          <w:tcPr>
            <w:tcW w:w="2023" w:type="pct"/>
          </w:tcPr>
          <w:p w14:paraId="1CC60E85" w14:textId="77777777" w:rsidR="00D1534A" w:rsidRPr="00B44E80" w:rsidRDefault="00506B85" w:rsidP="005D2E29">
            <w:pPr>
              <w:pStyle w:val="TitlePagetext"/>
            </w:pPr>
            <w:r w:rsidRPr="00B44E80">
              <w:t>Nature of Application</w:t>
            </w:r>
          </w:p>
        </w:tc>
        <w:tc>
          <w:tcPr>
            <w:tcW w:w="2977" w:type="pct"/>
          </w:tcPr>
          <w:p w14:paraId="7527D250" w14:textId="0AC63667" w:rsidR="00506B85" w:rsidRPr="00B44E80" w:rsidRDefault="00136D56" w:rsidP="00506B85">
            <w:pPr>
              <w:pStyle w:val="TitlePagetext"/>
            </w:pPr>
            <w:r w:rsidRPr="00B44E80">
              <w:t xml:space="preserve">Application under section 79 of the </w:t>
            </w:r>
            <w:r w:rsidRPr="00B44E80">
              <w:rPr>
                <w:i/>
              </w:rPr>
              <w:t>Planning and Environment Act 1987</w:t>
            </w:r>
            <w:r w:rsidRPr="00B44E80">
              <w:t xml:space="preserve"> – to review the failure to grant a permit within the prescribed time.</w:t>
            </w:r>
            <w:r w:rsidRPr="00B44E80">
              <w:rPr>
                <w:rStyle w:val="FootnoteReference"/>
              </w:rPr>
              <w:footnoteReference w:id="1"/>
            </w:r>
          </w:p>
        </w:tc>
      </w:tr>
      <w:tr w:rsidR="000D53B2" w:rsidRPr="00B44E80" w14:paraId="51FDD90D" w14:textId="77777777" w:rsidTr="005D2E29">
        <w:trPr>
          <w:cantSplit/>
        </w:trPr>
        <w:tc>
          <w:tcPr>
            <w:tcW w:w="2023" w:type="pct"/>
          </w:tcPr>
          <w:p w14:paraId="3988278E" w14:textId="77777777" w:rsidR="00D1534A" w:rsidRPr="00B44E80" w:rsidRDefault="000D53B2" w:rsidP="005D2E29">
            <w:pPr>
              <w:pStyle w:val="TitlePagetext"/>
            </w:pPr>
            <w:r w:rsidRPr="00B44E80">
              <w:t>Zone and Overlays</w:t>
            </w:r>
          </w:p>
        </w:tc>
        <w:tc>
          <w:tcPr>
            <w:tcW w:w="2977" w:type="pct"/>
          </w:tcPr>
          <w:p w14:paraId="37625258" w14:textId="3582C717" w:rsidR="000D53B2" w:rsidRPr="00B44E80" w:rsidRDefault="001C107D" w:rsidP="005D2E29">
            <w:pPr>
              <w:pStyle w:val="TitlePagetext"/>
            </w:pPr>
            <w:r w:rsidRPr="00B44E80">
              <w:t>General Residential Zone – Schedule 3 (</w:t>
            </w:r>
            <w:r w:rsidRPr="00B44E80">
              <w:rPr>
                <w:b/>
                <w:bCs/>
              </w:rPr>
              <w:t>GRZ3</w:t>
            </w:r>
            <w:r w:rsidRPr="00B44E80">
              <w:t>).</w:t>
            </w:r>
          </w:p>
        </w:tc>
      </w:tr>
      <w:tr w:rsidR="00506B85" w:rsidRPr="00B44E80" w14:paraId="6C1704D6" w14:textId="77777777" w:rsidTr="005D2E29">
        <w:trPr>
          <w:cantSplit/>
        </w:trPr>
        <w:tc>
          <w:tcPr>
            <w:tcW w:w="2023" w:type="pct"/>
          </w:tcPr>
          <w:p w14:paraId="127CB4D2" w14:textId="77777777" w:rsidR="005535CD" w:rsidRPr="00B44E80" w:rsidRDefault="00283EBC" w:rsidP="005D2E29">
            <w:pPr>
              <w:pStyle w:val="TitlePagetext"/>
            </w:pPr>
            <w:r w:rsidRPr="00B44E80">
              <w:t xml:space="preserve">Reason(s) </w:t>
            </w:r>
            <w:r w:rsidR="000D53B2" w:rsidRPr="00B44E80">
              <w:t xml:space="preserve">Permit </w:t>
            </w:r>
            <w:r w:rsidRPr="00B44E80">
              <w:t>Required</w:t>
            </w:r>
          </w:p>
        </w:tc>
        <w:tc>
          <w:tcPr>
            <w:tcW w:w="2977" w:type="pct"/>
          </w:tcPr>
          <w:p w14:paraId="5531A1BF" w14:textId="0BB04DB8" w:rsidR="00DA7C98" w:rsidRPr="00B44E80" w:rsidRDefault="0021327C" w:rsidP="00DA7C98">
            <w:pPr>
              <w:pStyle w:val="TitlePagetext"/>
            </w:pPr>
            <w:r w:rsidRPr="00B44E80">
              <w:t>Clause 32.08-6 – Construct two or more dwellings on a lot in the GRZ3.</w:t>
            </w:r>
          </w:p>
        </w:tc>
      </w:tr>
    </w:tbl>
    <w:p w14:paraId="6B2F20E4" w14:textId="77777777" w:rsidR="0019532A" w:rsidRPr="00B44E80" w:rsidRDefault="0019532A" w:rsidP="00304350"/>
    <w:p w14:paraId="0A0DC7AA" w14:textId="6A2ECFD9" w:rsidR="009C45DA" w:rsidRPr="00B44E80" w:rsidRDefault="0019532A">
      <w:pPr>
        <w:pStyle w:val="Heading1"/>
      </w:pPr>
      <w:r w:rsidRPr="00B44E80">
        <w:br w:type="page"/>
      </w:r>
      <w:r w:rsidR="00095320">
        <w:rPr>
          <w:noProof/>
        </w:rPr>
        <w:lastRenderedPageBreak/>
        <w:drawing>
          <wp:anchor distT="0" distB="0" distL="114300" distR="114300" simplePos="0" relativeHeight="251661312" behindDoc="1" locked="0" layoutInCell="1" allowOverlap="1" wp14:anchorId="20E8A53B" wp14:editId="1F6E8AF5">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C45DA" w:rsidRPr="00B44E80">
        <w:t>Re</w:t>
      </w:r>
      <w:r w:rsidR="002362D8" w:rsidRPr="00B44E80">
        <w:t>marks</w:t>
      </w:r>
    </w:p>
    <w:p w14:paraId="46C8C4C7" w14:textId="6026CB05" w:rsidR="00880809" w:rsidRPr="00B44E80" w:rsidRDefault="00880809" w:rsidP="003F4F49">
      <w:pPr>
        <w:pStyle w:val="Para1"/>
      </w:pPr>
      <w:r w:rsidRPr="00B44E80">
        <w:t xml:space="preserve">This is an application under section 79 of the </w:t>
      </w:r>
      <w:r w:rsidRPr="00B44E80">
        <w:rPr>
          <w:i/>
          <w:iCs/>
        </w:rPr>
        <w:t>Planning and Environment Act 1987</w:t>
      </w:r>
      <w:r w:rsidRPr="00B44E80">
        <w:t xml:space="preserve"> to review the failure </w:t>
      </w:r>
      <w:r w:rsidR="002777E0" w:rsidRPr="00B44E80">
        <w:t xml:space="preserve">of Monash City Council (the responsible authority) </w:t>
      </w:r>
      <w:r w:rsidRPr="00B44E80">
        <w:t>to grant a permit within the prescribed time for the construction of three dwellings on the land at 4 Gordon Avenue, Oakleigh East</w:t>
      </w:r>
      <w:r w:rsidR="00B72AB9" w:rsidRPr="00B44E80">
        <w:t xml:space="preserve"> (the subject land)</w:t>
      </w:r>
      <w:r w:rsidRPr="00B44E80">
        <w:t>.</w:t>
      </w:r>
    </w:p>
    <w:p w14:paraId="722C0F99" w14:textId="12BF0AF7" w:rsidR="00DA090D" w:rsidRPr="00B44E80" w:rsidRDefault="00DA090D" w:rsidP="003F4F49">
      <w:pPr>
        <w:pStyle w:val="Para1"/>
      </w:pPr>
      <w:r w:rsidRPr="00B44E80">
        <w:t>The responsible authority subsequently indicated that it would have refused the application.</w:t>
      </w:r>
      <w:r w:rsidR="001B53D1" w:rsidRPr="00B44E80">
        <w:t xml:space="preserve">  </w:t>
      </w:r>
      <w:r w:rsidRPr="00B44E80">
        <w:t>Its grounds for refusal relate to inconsistency with the Residential Development Policy at Clauses 21.04 and 22.01, the objectives and standards of clause 55 relating to neighbourhood character, residential policy, safety, landscaping, setbacks, dwelling entry and design detail, car parking design standards of clause 52.06, impact on streetscape and adjoining properties, and the proposal being an inappropriate design response.</w:t>
      </w:r>
    </w:p>
    <w:p w14:paraId="6C918EE2" w14:textId="53E63D61" w:rsidR="00DA090D" w:rsidRPr="00B44E80" w:rsidRDefault="00AA0311" w:rsidP="003F4F49">
      <w:pPr>
        <w:pStyle w:val="Para1"/>
      </w:pPr>
      <w:r w:rsidRPr="00B44E80">
        <w:t>The key issues in this matter are:</w:t>
      </w:r>
    </w:p>
    <w:p w14:paraId="6E88A8E7" w14:textId="6549ACFE" w:rsidR="000F5D3E" w:rsidRPr="00B44E80" w:rsidRDefault="000F5D3E" w:rsidP="003F4F49">
      <w:pPr>
        <w:pStyle w:val="Para5"/>
      </w:pPr>
      <w:r w:rsidRPr="00B44E80">
        <w:t>Is the scale of the development an acceptable response to the neighbourhood character?</w:t>
      </w:r>
    </w:p>
    <w:p w14:paraId="0BC4A0BB" w14:textId="4CBDFA13" w:rsidR="000F5D3E" w:rsidRPr="00B44E80" w:rsidRDefault="000F5D3E" w:rsidP="003F4F49">
      <w:pPr>
        <w:pStyle w:val="Para5"/>
      </w:pPr>
      <w:r w:rsidRPr="00B44E80">
        <w:t>Is the proposed landscaping an acceptable response the garden city character sought for this area?</w:t>
      </w:r>
    </w:p>
    <w:p w14:paraId="1156CE53" w14:textId="4CC7E169" w:rsidR="000F5D3E" w:rsidRPr="00B44E80" w:rsidRDefault="000F5D3E" w:rsidP="003F4F49">
      <w:pPr>
        <w:pStyle w:val="Para5"/>
      </w:pPr>
      <w:r w:rsidRPr="00B44E80">
        <w:t>Does the proposal provide acceptable dwelling entries and surveillance of the driveway?</w:t>
      </w:r>
    </w:p>
    <w:p w14:paraId="4A35F5F5" w14:textId="6D26AF0D" w:rsidR="000F5D3E" w:rsidRPr="00B44E80" w:rsidRDefault="000F5D3E" w:rsidP="003F4F49">
      <w:pPr>
        <w:pStyle w:val="Para5"/>
      </w:pPr>
      <w:r w:rsidRPr="00B44E80">
        <w:t>Is the arrangement of private open space for dwelling 2 acceptable?</w:t>
      </w:r>
    </w:p>
    <w:p w14:paraId="427702FC" w14:textId="00167512" w:rsidR="00AA0311" w:rsidRPr="00B44E80" w:rsidRDefault="000F5D3E" w:rsidP="003F4F49">
      <w:pPr>
        <w:pStyle w:val="Para5"/>
      </w:pPr>
      <w:r w:rsidRPr="00B44E80">
        <w:tab/>
        <w:t>Does the orientation and layout of the proposal make appropriate use of daylight and solar energy?</w:t>
      </w:r>
    </w:p>
    <w:p w14:paraId="3C972AA5" w14:textId="215145C1" w:rsidR="003B79F3" w:rsidRPr="00B44E80" w:rsidRDefault="000B3F66" w:rsidP="003F4F49">
      <w:pPr>
        <w:pStyle w:val="Para1"/>
      </w:pPr>
      <w:r w:rsidRPr="00B44E80">
        <w:t>Reasons for this decision were given orally at the conclusion of the hearing</w:t>
      </w:r>
      <w:r w:rsidR="003B79F3" w:rsidRPr="00B44E80">
        <w:t>.  My decision included that the permit conditions are to be in accordance with the draft permit conditions provided by the responsible authority subject to changes relating to the following:</w:t>
      </w:r>
    </w:p>
    <w:p w14:paraId="0E4BC36D" w14:textId="45EDCF89" w:rsidR="003B79F3" w:rsidRPr="00B44E80" w:rsidRDefault="003B79F3" w:rsidP="003F4F49">
      <w:pPr>
        <w:pStyle w:val="Para5"/>
      </w:pPr>
      <w:r w:rsidRPr="00B44E80">
        <w:t>opportunities for this landscaping to be increased and improved through minor variations to the layout of parts of the building and fences and the landscaping proposal</w:t>
      </w:r>
      <w:r w:rsidR="00873DF7" w:rsidRPr="00B44E80">
        <w:t>;</w:t>
      </w:r>
    </w:p>
    <w:p w14:paraId="0B94EB04" w14:textId="64B31264" w:rsidR="003B79F3" w:rsidRPr="00B44E80" w:rsidRDefault="003B79F3" w:rsidP="003F4F49">
      <w:pPr>
        <w:pStyle w:val="Para5"/>
      </w:pPr>
      <w:r w:rsidRPr="00B44E80">
        <w:tab/>
        <w:t>improve</w:t>
      </w:r>
      <w:r w:rsidR="00C37E36" w:rsidRPr="00B44E80">
        <w:t>d</w:t>
      </w:r>
      <w:r w:rsidRPr="00B44E80">
        <w:t xml:space="preserve"> passive surveillance by </w:t>
      </w:r>
      <w:r w:rsidR="00C37E36" w:rsidRPr="00B44E80">
        <w:t>prov</w:t>
      </w:r>
      <w:r w:rsidR="0010684F" w:rsidRPr="00B44E80">
        <w:t>ision of</w:t>
      </w:r>
      <w:r w:rsidRPr="00B44E80">
        <w:t xml:space="preserve"> some additional windows</w:t>
      </w:r>
      <w:r w:rsidR="00873DF7" w:rsidRPr="00B44E80">
        <w:t>;</w:t>
      </w:r>
    </w:p>
    <w:p w14:paraId="6B08B7B1" w14:textId="66E4358A" w:rsidR="003B79F3" w:rsidRPr="00B44E80" w:rsidRDefault="003B79F3" w:rsidP="003F4F49">
      <w:pPr>
        <w:pStyle w:val="Para5"/>
      </w:pPr>
      <w:r w:rsidRPr="00B44E80">
        <w:tab/>
        <w:t>the siting of the fence between the open space areas of dwellings 2 and 3</w:t>
      </w:r>
      <w:r w:rsidR="00873DF7" w:rsidRPr="00B44E80">
        <w:t>;</w:t>
      </w:r>
    </w:p>
    <w:p w14:paraId="487BE6D4" w14:textId="5587278A" w:rsidR="003B79F3" w:rsidRPr="00B44E80" w:rsidRDefault="003B79F3" w:rsidP="003F4F49">
      <w:pPr>
        <w:pStyle w:val="Para5"/>
      </w:pPr>
      <w:r w:rsidRPr="00B44E80">
        <w:tab/>
        <w:t>provision of a north facing window to the living room of dwelling 3</w:t>
      </w:r>
      <w:r w:rsidR="00873DF7" w:rsidRPr="00B44E80">
        <w:t>; and</w:t>
      </w:r>
    </w:p>
    <w:p w14:paraId="545331A6" w14:textId="7492C0E4" w:rsidR="003B79F3" w:rsidRPr="00B44E80" w:rsidRDefault="003B79F3" w:rsidP="003F4F49">
      <w:pPr>
        <w:pStyle w:val="Para5"/>
      </w:pPr>
      <w:r w:rsidRPr="00B44E80">
        <w:tab/>
      </w:r>
      <w:r w:rsidR="00873DF7" w:rsidRPr="00B44E80">
        <w:t>d</w:t>
      </w:r>
      <w:r w:rsidRPr="00B44E80">
        <w:t>elet</w:t>
      </w:r>
      <w:r w:rsidR="00873DF7" w:rsidRPr="00B44E80">
        <w:t>ion of</w:t>
      </w:r>
      <w:r w:rsidRPr="00B44E80">
        <w:t xml:space="preserve"> draft conditions 1a), 1b), 3, 6, 11, and 14.</w:t>
      </w:r>
    </w:p>
    <w:p w14:paraId="5BD9C44B" w14:textId="110261CA" w:rsidR="009C45DA" w:rsidRPr="00B44E80" w:rsidRDefault="00095320" w:rsidP="003F4F49">
      <w:pPr>
        <w:pStyle w:val="Para1"/>
      </w:pPr>
      <w:r>
        <w:rPr>
          <w:noProof/>
        </w:rPr>
        <w:lastRenderedPageBreak/>
        <w:drawing>
          <wp:anchor distT="0" distB="0" distL="114300" distR="114300" simplePos="0" relativeHeight="251662336" behindDoc="1" locked="0" layoutInCell="1" allowOverlap="1" wp14:anchorId="236E490B" wp14:editId="18B3A9E0">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457B7" w:rsidRPr="00B44E80">
        <w:t xml:space="preserve">At the hearing </w:t>
      </w:r>
      <w:r w:rsidR="00E07F72" w:rsidRPr="00B44E80">
        <w:t xml:space="preserve">I reserved </w:t>
      </w:r>
      <w:r w:rsidR="00782690" w:rsidRPr="00B44E80">
        <w:t xml:space="preserve">my decision with respect to the detailed drafting of the </w:t>
      </w:r>
      <w:r w:rsidR="00E07F72" w:rsidRPr="00B44E80">
        <w:t xml:space="preserve">permit </w:t>
      </w:r>
      <w:r w:rsidR="00782690" w:rsidRPr="00B44E80">
        <w:t>conditions.</w:t>
      </w:r>
      <w:r w:rsidR="00813098" w:rsidRPr="00B44E80">
        <w:t xml:space="preserve">  The permit conditions contained in this Order are consistent with </w:t>
      </w:r>
      <w:r w:rsidR="00BF7A69" w:rsidRPr="00B44E80">
        <w:t>the discussions</w:t>
      </w:r>
      <w:r w:rsidR="00E01E93" w:rsidRPr="00B44E80">
        <w:t xml:space="preserve"> at the hearing and </w:t>
      </w:r>
      <w:r w:rsidR="00FE2727" w:rsidRPr="00B44E80">
        <w:t>my oral reasons.</w:t>
      </w:r>
    </w:p>
    <w:p w14:paraId="269E7485" w14:textId="4EA4833F" w:rsidR="00ED2084" w:rsidRPr="00B44E80" w:rsidRDefault="00ED2084"/>
    <w:p w14:paraId="184BE83F" w14:textId="77777777" w:rsidR="002C55E7" w:rsidRPr="00B44E80" w:rsidRDefault="002C55E7"/>
    <w:p w14:paraId="293D9FCE" w14:textId="77777777" w:rsidR="009C45DA" w:rsidRPr="00B44E80" w:rsidRDefault="009C45DA"/>
    <w:p w14:paraId="3C2875E8" w14:textId="77777777" w:rsidR="009C45DA" w:rsidRPr="00B44E80" w:rsidRDefault="009C45DA"/>
    <w:tbl>
      <w:tblPr>
        <w:tblW w:w="5000" w:type="pct"/>
        <w:tblLook w:val="0000" w:firstRow="0" w:lastRow="0" w:firstColumn="0" w:lastColumn="0" w:noHBand="0" w:noVBand="0"/>
      </w:tblPr>
      <w:tblGrid>
        <w:gridCol w:w="2835"/>
        <w:gridCol w:w="2836"/>
        <w:gridCol w:w="2834"/>
      </w:tblGrid>
      <w:tr w:rsidR="009C45DA" w:rsidRPr="00B44E80" w14:paraId="7F80403C" w14:textId="77777777">
        <w:tc>
          <w:tcPr>
            <w:tcW w:w="1667" w:type="pct"/>
          </w:tcPr>
          <w:p w14:paraId="4B63ECB5" w14:textId="08E17A3C" w:rsidR="00210E32" w:rsidRPr="00B44E80" w:rsidRDefault="00180F10">
            <w:pPr>
              <w:tabs>
                <w:tab w:val="left" w:pos="1515"/>
              </w:tabs>
              <w:rPr>
                <w:b/>
              </w:rPr>
            </w:pPr>
            <w:r w:rsidRPr="00B44E80">
              <w:rPr>
                <w:b/>
              </w:rPr>
              <w:t>S</w:t>
            </w:r>
            <w:r w:rsidR="00084585" w:rsidRPr="00B44E80">
              <w:rPr>
                <w:b/>
              </w:rPr>
              <w:t>arah</w:t>
            </w:r>
            <w:r w:rsidRPr="00B44E80">
              <w:rPr>
                <w:b/>
              </w:rPr>
              <w:t xml:space="preserve"> McDonald</w:t>
            </w:r>
          </w:p>
          <w:p w14:paraId="70D1871F" w14:textId="0DA9D352" w:rsidR="009C45DA" w:rsidRPr="00B44E80" w:rsidRDefault="00ED2084">
            <w:pPr>
              <w:tabs>
                <w:tab w:val="left" w:pos="1515"/>
              </w:tabs>
              <w:rPr>
                <w:b/>
              </w:rPr>
            </w:pPr>
            <w:r w:rsidRPr="00B44E80">
              <w:rPr>
                <w:b/>
              </w:rPr>
              <w:t>Member</w:t>
            </w:r>
          </w:p>
        </w:tc>
        <w:tc>
          <w:tcPr>
            <w:tcW w:w="1667" w:type="pct"/>
          </w:tcPr>
          <w:p w14:paraId="3139AE5E" w14:textId="77777777" w:rsidR="009C45DA" w:rsidRPr="00B44E80" w:rsidRDefault="009C45DA"/>
        </w:tc>
        <w:tc>
          <w:tcPr>
            <w:tcW w:w="1667" w:type="pct"/>
          </w:tcPr>
          <w:p w14:paraId="0CE31A9A" w14:textId="77777777" w:rsidR="009C45DA" w:rsidRPr="00B44E80" w:rsidRDefault="009C45DA"/>
        </w:tc>
      </w:tr>
    </w:tbl>
    <w:p w14:paraId="762D4A22" w14:textId="77777777" w:rsidR="009C45DA" w:rsidRPr="00B44E80" w:rsidRDefault="009C45DA"/>
    <w:p w14:paraId="10B21D1C" w14:textId="78F46159" w:rsidR="00F45051" w:rsidRPr="00B44E80" w:rsidRDefault="00F45051" w:rsidP="00F45051">
      <w:pPr>
        <w:pStyle w:val="Heading1"/>
      </w:pPr>
      <w:r w:rsidRPr="00B44E80">
        <w:br w:type="page"/>
      </w:r>
      <w:r w:rsidR="00095320">
        <w:rPr>
          <w:noProof/>
        </w:rPr>
        <w:lastRenderedPageBreak/>
        <w:drawing>
          <wp:anchor distT="0" distB="0" distL="114300" distR="114300" simplePos="0" relativeHeight="251663360" behindDoc="1" locked="0" layoutInCell="1" allowOverlap="1" wp14:anchorId="5247829A" wp14:editId="3300E738">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44E80">
        <w:t>APPENDIX A</w:t>
      </w:r>
    </w:p>
    <w:p w14:paraId="1C137C36" w14:textId="77777777" w:rsidR="00F45051" w:rsidRPr="00B44E80" w:rsidRDefault="00F45051" w:rsidP="003F4F49">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4864"/>
      </w:tblGrid>
      <w:tr w:rsidR="00F45051" w:rsidRPr="00B44E80" w14:paraId="60C6C98B" w14:textId="77777777" w:rsidTr="008D1061">
        <w:tc>
          <w:tcPr>
            <w:tcW w:w="3708" w:type="dxa"/>
            <w:shd w:val="clear" w:color="auto" w:fill="auto"/>
          </w:tcPr>
          <w:p w14:paraId="3290F092" w14:textId="77777777" w:rsidR="00F45051" w:rsidRPr="00B44E80" w:rsidRDefault="00F45051" w:rsidP="0001510A">
            <w:pPr>
              <w:pStyle w:val="TitlePage2"/>
            </w:pPr>
            <w:r w:rsidRPr="00B44E80">
              <w:t>PERMIT APPLICATION NO:</w:t>
            </w:r>
          </w:p>
        </w:tc>
        <w:tc>
          <w:tcPr>
            <w:tcW w:w="5013" w:type="dxa"/>
            <w:shd w:val="clear" w:color="auto" w:fill="auto"/>
          </w:tcPr>
          <w:p w14:paraId="7D69D96B" w14:textId="7CD7B631" w:rsidR="00F45051" w:rsidRPr="00B44E80" w:rsidRDefault="00A914FC" w:rsidP="0001510A">
            <w:pPr>
              <w:pStyle w:val="TitlePagetext"/>
            </w:pPr>
            <w:r w:rsidRPr="00B44E80">
              <w:t>TPA/49876</w:t>
            </w:r>
          </w:p>
        </w:tc>
      </w:tr>
      <w:tr w:rsidR="00F45051" w:rsidRPr="00B44E80" w14:paraId="6BCFFC4D" w14:textId="77777777" w:rsidTr="008D1061">
        <w:tc>
          <w:tcPr>
            <w:tcW w:w="3708" w:type="dxa"/>
            <w:tcBorders>
              <w:bottom w:val="single" w:sz="4" w:space="0" w:color="auto"/>
            </w:tcBorders>
            <w:shd w:val="clear" w:color="auto" w:fill="auto"/>
          </w:tcPr>
          <w:p w14:paraId="452EB416" w14:textId="77777777" w:rsidR="00F45051" w:rsidRPr="00B44E80" w:rsidRDefault="00F45051" w:rsidP="0001510A">
            <w:pPr>
              <w:pStyle w:val="TitlePage2"/>
            </w:pPr>
            <w:r w:rsidRPr="00B44E80">
              <w:t>LAND:</w:t>
            </w:r>
          </w:p>
        </w:tc>
        <w:tc>
          <w:tcPr>
            <w:tcW w:w="5013" w:type="dxa"/>
            <w:tcBorders>
              <w:bottom w:val="single" w:sz="4" w:space="0" w:color="auto"/>
            </w:tcBorders>
            <w:shd w:val="clear" w:color="auto" w:fill="auto"/>
          </w:tcPr>
          <w:p w14:paraId="2BBF7A9F" w14:textId="317B124A" w:rsidR="00F45051" w:rsidRPr="00B44E80" w:rsidRDefault="00A914FC" w:rsidP="0001510A">
            <w:pPr>
              <w:pStyle w:val="TitlePagetext"/>
            </w:pPr>
            <w:r w:rsidRPr="00B44E80">
              <w:t>4 Gordon Avenue, Oakleigh East</w:t>
            </w:r>
          </w:p>
        </w:tc>
      </w:tr>
      <w:tr w:rsidR="00F45051" w:rsidRPr="00B44E80" w14:paraId="4DA4BBC0" w14:textId="77777777" w:rsidTr="008D1061">
        <w:tc>
          <w:tcPr>
            <w:tcW w:w="8721" w:type="dxa"/>
            <w:gridSpan w:val="2"/>
            <w:tcBorders>
              <w:bottom w:val="nil"/>
            </w:tcBorders>
            <w:shd w:val="clear" w:color="auto" w:fill="auto"/>
          </w:tcPr>
          <w:p w14:paraId="250F0E4F" w14:textId="77777777" w:rsidR="00F45051" w:rsidRPr="00B44E80" w:rsidRDefault="00F45051" w:rsidP="0003090D">
            <w:pPr>
              <w:pStyle w:val="TitlePage2"/>
            </w:pPr>
            <w:r w:rsidRPr="00B44E80">
              <w:t>WHAT THE PERMIT ALLOWS:</w:t>
            </w:r>
          </w:p>
        </w:tc>
      </w:tr>
      <w:tr w:rsidR="00F45051" w:rsidRPr="00B44E80" w14:paraId="02FB783D" w14:textId="77777777" w:rsidTr="008D1061">
        <w:tc>
          <w:tcPr>
            <w:tcW w:w="8721" w:type="dxa"/>
            <w:gridSpan w:val="2"/>
            <w:tcBorders>
              <w:top w:val="nil"/>
            </w:tcBorders>
            <w:shd w:val="clear" w:color="auto" w:fill="auto"/>
          </w:tcPr>
          <w:p w14:paraId="3D131123" w14:textId="77777777" w:rsidR="0083503D" w:rsidRPr="00B44E80" w:rsidRDefault="0083503D" w:rsidP="0083503D">
            <w:pPr>
              <w:pStyle w:val="Order1"/>
            </w:pPr>
            <w:r w:rsidRPr="00B44E80">
              <w:t>In accordance with the endorsed plans:</w:t>
            </w:r>
          </w:p>
          <w:p w14:paraId="1B82C63B" w14:textId="0D56DDA7" w:rsidR="00F45051" w:rsidRPr="00B44E80" w:rsidRDefault="0003090D" w:rsidP="003F4F49">
            <w:pPr>
              <w:pStyle w:val="Para5"/>
            </w:pPr>
            <w:r w:rsidRPr="00B44E80">
              <w:t>Construction of three dwellings on a lot in the General Residential Zone – Schedule 3</w:t>
            </w:r>
            <w:r w:rsidR="00D50A36" w:rsidRPr="00B44E80">
              <w:t>.</w:t>
            </w:r>
          </w:p>
        </w:tc>
      </w:tr>
    </w:tbl>
    <w:p w14:paraId="0440757C" w14:textId="77777777" w:rsidR="00F45051" w:rsidRPr="00B44E80" w:rsidRDefault="00F45051" w:rsidP="00F45051"/>
    <w:p w14:paraId="37E7C7CD" w14:textId="3AAD0750" w:rsidR="00F45051" w:rsidRPr="00B44E80" w:rsidRDefault="009B40E1" w:rsidP="00F45051">
      <w:pPr>
        <w:pStyle w:val="Heading1"/>
        <w:rPr>
          <w:lang w:val="en-US"/>
        </w:rPr>
      </w:pPr>
      <w:bookmarkStart w:id="17" w:name="Default"/>
      <w:bookmarkEnd w:id="17"/>
      <w:r w:rsidRPr="00B44E80">
        <w:rPr>
          <w:lang w:val="en-US"/>
        </w:rPr>
        <w:t>C</w:t>
      </w:r>
      <w:r w:rsidR="00F45051" w:rsidRPr="00B44E80">
        <w:rPr>
          <w:lang w:val="en-US"/>
        </w:rPr>
        <w:t>onditions</w:t>
      </w:r>
    </w:p>
    <w:p w14:paraId="1AFE48E1" w14:textId="60E78393" w:rsidR="00F45608" w:rsidRPr="00B44E80" w:rsidRDefault="00F45608" w:rsidP="00F45608">
      <w:pPr>
        <w:pStyle w:val="Heading3"/>
        <w:rPr>
          <w:lang w:val="en-US"/>
        </w:rPr>
      </w:pPr>
      <w:r w:rsidRPr="00B44E80">
        <w:rPr>
          <w:lang w:val="en-US"/>
        </w:rPr>
        <w:t>Amended plans</w:t>
      </w:r>
    </w:p>
    <w:p w14:paraId="43D1A87E" w14:textId="19AC7B9A" w:rsidR="00004CB5" w:rsidRPr="00B44E80" w:rsidRDefault="00004CB5" w:rsidP="0062178A">
      <w:pPr>
        <w:pStyle w:val="Condition2"/>
      </w:pPr>
      <w:r w:rsidRPr="00B44E80">
        <w:t xml:space="preserve">Before the development starts, plans drawn to scale and dimensioned must be submitted to and approved by the Responsible Authority.  When approved, the plans will be endorsed and will then form part of the permit. The plans must be generally in accordance with the plans </w:t>
      </w:r>
      <w:r w:rsidR="00EA2073" w:rsidRPr="00B44E80">
        <w:t xml:space="preserve">prepared by </w:t>
      </w:r>
      <w:r w:rsidR="00756FAA" w:rsidRPr="00B44E80">
        <w:t>Archiphor Architects</w:t>
      </w:r>
      <w:r w:rsidRPr="00B44E80">
        <w:t xml:space="preserve"> </w:t>
      </w:r>
      <w:r w:rsidR="00AF1D3E" w:rsidRPr="00B44E80">
        <w:t xml:space="preserve">(Revision </w:t>
      </w:r>
      <w:r w:rsidR="00756FAA" w:rsidRPr="00B44E80">
        <w:t>A, VCAT Circulation Issue</w:t>
      </w:r>
      <w:r w:rsidR="00AF1D3E" w:rsidRPr="00B44E80">
        <w:t>, dated</w:t>
      </w:r>
      <w:r w:rsidR="00756FAA" w:rsidRPr="00B44E80">
        <w:t xml:space="preserve"> 17/03/2020</w:t>
      </w:r>
      <w:r w:rsidR="00AF1D3E" w:rsidRPr="00B44E80">
        <w:t xml:space="preserve">) </w:t>
      </w:r>
      <w:r w:rsidRPr="00B44E80">
        <w:t>but modified to show:</w:t>
      </w:r>
    </w:p>
    <w:p w14:paraId="6B168741" w14:textId="5F878D32" w:rsidR="00FE20CA" w:rsidRPr="00B44E80" w:rsidRDefault="001833E6" w:rsidP="008315DC">
      <w:pPr>
        <w:pStyle w:val="Condition2"/>
        <w:numPr>
          <w:ilvl w:val="1"/>
          <w:numId w:val="7"/>
        </w:numPr>
      </w:pPr>
      <w:r w:rsidRPr="00B44E80">
        <w:t xml:space="preserve">The walk-in-pantry on the southern side of dwelling 1 reduced in size </w:t>
      </w:r>
      <w:r w:rsidR="00473FE2" w:rsidRPr="00B44E80">
        <w:t xml:space="preserve">so that </w:t>
      </w:r>
      <w:r w:rsidR="002A6D22" w:rsidRPr="00B44E80">
        <w:t xml:space="preserve">the setback of its </w:t>
      </w:r>
      <w:r w:rsidR="00473FE2" w:rsidRPr="00B44E80">
        <w:t xml:space="preserve">external walls </w:t>
      </w:r>
      <w:r w:rsidR="000520D0" w:rsidRPr="00B44E80">
        <w:t xml:space="preserve">from the edge of the common accessway </w:t>
      </w:r>
      <w:r w:rsidR="002A6D22" w:rsidRPr="00B44E80">
        <w:t xml:space="preserve">are increased </w:t>
      </w:r>
      <w:r w:rsidR="00932099" w:rsidRPr="00B44E80">
        <w:t xml:space="preserve">to enable the planting of </w:t>
      </w:r>
      <w:r w:rsidR="006337ED" w:rsidRPr="00B44E80">
        <w:t xml:space="preserve">a small tree or large shrub </w:t>
      </w:r>
      <w:r w:rsidR="00CB6B1E" w:rsidRPr="00B44E80">
        <w:t>at the south-</w:t>
      </w:r>
      <w:r w:rsidR="00C02828" w:rsidRPr="00B44E80">
        <w:t>east</w:t>
      </w:r>
      <w:r w:rsidR="00CB6B1E" w:rsidRPr="00B44E80">
        <w:t xml:space="preserve"> corner of dwelling 1</w:t>
      </w:r>
      <w:r w:rsidR="00667263" w:rsidRPr="00B44E80">
        <w:t>.</w:t>
      </w:r>
    </w:p>
    <w:p w14:paraId="47257F28" w14:textId="1586AFE4" w:rsidR="0073505D" w:rsidRPr="00B44E80" w:rsidRDefault="000D0841" w:rsidP="008315DC">
      <w:pPr>
        <w:pStyle w:val="Condition2"/>
        <w:numPr>
          <w:ilvl w:val="1"/>
          <w:numId w:val="7"/>
        </w:numPr>
      </w:pPr>
      <w:r w:rsidRPr="00B44E80">
        <w:t xml:space="preserve">Landscaping generally in accordance with the landscape </w:t>
      </w:r>
      <w:r w:rsidR="00E51282" w:rsidRPr="00B44E80">
        <w:t xml:space="preserve">concept plan prepared by Justin Hutchison Landscape </w:t>
      </w:r>
      <w:r w:rsidR="00511D34" w:rsidRPr="00B44E80">
        <w:t>Design</w:t>
      </w:r>
      <w:r w:rsidR="00E51282" w:rsidRPr="00B44E80">
        <w:t>, (Revision A d</w:t>
      </w:r>
      <w:r w:rsidR="00511D34" w:rsidRPr="00B44E80">
        <w:t>a</w:t>
      </w:r>
      <w:r w:rsidR="00E51282" w:rsidRPr="00B44E80">
        <w:t>ted 13.03.20)</w:t>
      </w:r>
      <w:r w:rsidR="003C0E01" w:rsidRPr="00B44E80">
        <w:t xml:space="preserve"> but </w:t>
      </w:r>
      <w:r w:rsidR="002C2A21" w:rsidRPr="00B44E80">
        <w:t>modified</w:t>
      </w:r>
      <w:r w:rsidR="003C0E01" w:rsidRPr="00B44E80">
        <w:t xml:space="preserve"> to show</w:t>
      </w:r>
      <w:r w:rsidR="002C2A21" w:rsidRPr="00B44E80">
        <w:t>:</w:t>
      </w:r>
    </w:p>
    <w:p w14:paraId="6BAAF50A" w14:textId="7420319F" w:rsidR="002C2A21" w:rsidRPr="00B44E80" w:rsidRDefault="007146E6" w:rsidP="008315DC">
      <w:pPr>
        <w:pStyle w:val="Condition2"/>
        <w:numPr>
          <w:ilvl w:val="2"/>
          <w:numId w:val="7"/>
        </w:numPr>
      </w:pPr>
      <w:r w:rsidRPr="00B44E80">
        <w:t>a</w:t>
      </w:r>
      <w:r w:rsidR="00A17E2A" w:rsidRPr="00B44E80">
        <w:t>ny fence on the northern side of the common accessway between the front boundary and the western fa</w:t>
      </w:r>
      <w:r w:rsidR="00422817" w:rsidRPr="00B44E80">
        <w:t>c</w:t>
      </w:r>
      <w:r w:rsidR="00A17E2A" w:rsidRPr="00B44E80">
        <w:t xml:space="preserve">ade of </w:t>
      </w:r>
      <w:r w:rsidR="007F40E9" w:rsidRPr="00B44E80">
        <w:t xml:space="preserve">dwelling 1 to be located to the northern side of the proposed </w:t>
      </w:r>
      <w:r w:rsidR="007F40E9" w:rsidRPr="00B44E80">
        <w:rPr>
          <w:i/>
          <w:iCs/>
        </w:rPr>
        <w:t xml:space="preserve">Choisya </w:t>
      </w:r>
      <w:r w:rsidRPr="00B44E80">
        <w:rPr>
          <w:i/>
          <w:iCs/>
        </w:rPr>
        <w:t>ternat</w:t>
      </w:r>
      <w:r w:rsidR="00422005" w:rsidRPr="00B44E80">
        <w:rPr>
          <w:i/>
          <w:iCs/>
        </w:rPr>
        <w:t>a</w:t>
      </w:r>
      <w:r w:rsidRPr="00B44E80">
        <w:t xml:space="preserve"> (Mexican orange blossoms)</w:t>
      </w:r>
      <w:r w:rsidR="00C15AC5" w:rsidRPr="00B44E80">
        <w:t xml:space="preserve"> hedge</w:t>
      </w:r>
      <w:r w:rsidRPr="00B44E80">
        <w:t>;</w:t>
      </w:r>
    </w:p>
    <w:p w14:paraId="469D324F" w14:textId="63B37BD8" w:rsidR="0072580F" w:rsidRPr="00B44E80" w:rsidRDefault="00AB4004" w:rsidP="008315DC">
      <w:pPr>
        <w:pStyle w:val="Condition2"/>
        <w:numPr>
          <w:ilvl w:val="2"/>
          <w:numId w:val="7"/>
        </w:numPr>
      </w:pPr>
      <w:r w:rsidRPr="00B44E80">
        <w:t>the provision of a small tree or large shrub at the south-</w:t>
      </w:r>
      <w:r w:rsidR="00C02828" w:rsidRPr="00B44E80">
        <w:t>east</w:t>
      </w:r>
      <w:r w:rsidRPr="00B44E80">
        <w:t xml:space="preserve"> corner of dwelling 1</w:t>
      </w:r>
      <w:r w:rsidR="00B13403" w:rsidRPr="00B44E80">
        <w:t>; a</w:t>
      </w:r>
      <w:r w:rsidR="0092047D" w:rsidRPr="00B44E80">
        <w:t>n</w:t>
      </w:r>
      <w:r w:rsidR="00B13403" w:rsidRPr="00B44E80">
        <w:t>d</w:t>
      </w:r>
    </w:p>
    <w:p w14:paraId="4AC48532" w14:textId="7DDCE89C" w:rsidR="00B13403" w:rsidRPr="00B44E80" w:rsidRDefault="0092047D" w:rsidP="008315DC">
      <w:pPr>
        <w:pStyle w:val="Condition2"/>
        <w:numPr>
          <w:ilvl w:val="2"/>
          <w:numId w:val="7"/>
        </w:numPr>
      </w:pPr>
      <w:r w:rsidRPr="00B44E80">
        <w:t>t</w:t>
      </w:r>
      <w:r w:rsidR="00B13403" w:rsidRPr="00B44E80">
        <w:t>he provision of climbing plants</w:t>
      </w:r>
      <w:r w:rsidR="003D4129" w:rsidRPr="00B44E80">
        <w:t>/</w:t>
      </w:r>
      <w:r w:rsidR="00B13403" w:rsidRPr="00B44E80">
        <w:t xml:space="preserve">creepers </w:t>
      </w:r>
      <w:r w:rsidR="00314E97" w:rsidRPr="00B44E80">
        <w:t xml:space="preserve">in the garden bed along the southern side of the common accessway.  The </w:t>
      </w:r>
      <w:r w:rsidR="00EF79B4" w:rsidRPr="00B44E80">
        <w:t>climbing</w:t>
      </w:r>
      <w:r w:rsidR="00314E97" w:rsidRPr="00B44E80">
        <w:t xml:space="preserve"> plants</w:t>
      </w:r>
      <w:r w:rsidR="003D4129" w:rsidRPr="00B44E80">
        <w:t>/creepers</w:t>
      </w:r>
      <w:r w:rsidR="00314E97" w:rsidRPr="00B44E80">
        <w:t xml:space="preserve"> m</w:t>
      </w:r>
      <w:r w:rsidR="00EF79B4" w:rsidRPr="00B44E80">
        <w:t>u</w:t>
      </w:r>
      <w:r w:rsidR="00314E97" w:rsidRPr="00B44E80">
        <w:t xml:space="preserve">st be supported by a </w:t>
      </w:r>
      <w:r w:rsidR="00EF79B4" w:rsidRPr="00B44E80">
        <w:t xml:space="preserve">frame or structure other than the boundary </w:t>
      </w:r>
      <w:r w:rsidR="00E300F6" w:rsidRPr="00B44E80">
        <w:t>fence.</w:t>
      </w:r>
    </w:p>
    <w:p w14:paraId="593661AA" w14:textId="09599472" w:rsidR="00A50D86" w:rsidRPr="00B44E80" w:rsidRDefault="00204E64" w:rsidP="008315DC">
      <w:pPr>
        <w:pStyle w:val="Condition2"/>
        <w:numPr>
          <w:ilvl w:val="1"/>
          <w:numId w:val="7"/>
        </w:numPr>
      </w:pPr>
      <w:r w:rsidRPr="00B44E80">
        <w:t>The f</w:t>
      </w:r>
      <w:r w:rsidR="00BF4B32" w:rsidRPr="00B44E80">
        <w:t xml:space="preserve">ence dividing the secluded </w:t>
      </w:r>
      <w:r w:rsidR="001445BF" w:rsidRPr="00B44E80">
        <w:t>private</w:t>
      </w:r>
      <w:r w:rsidR="00BF4B32" w:rsidRPr="00B44E80">
        <w:t xml:space="preserve"> open spaces </w:t>
      </w:r>
      <w:r w:rsidR="00420B93" w:rsidRPr="00B44E80">
        <w:t xml:space="preserve">of dwelling 2 and dwelling 3 </w:t>
      </w:r>
      <w:r w:rsidR="00CC2A17" w:rsidRPr="00B44E80">
        <w:t>reloc</w:t>
      </w:r>
      <w:r w:rsidR="00386AD5" w:rsidRPr="00B44E80">
        <w:t xml:space="preserve">ated </w:t>
      </w:r>
      <w:r w:rsidR="001F3CB7" w:rsidRPr="00B44E80">
        <w:t>3.0 metres to the west of</w:t>
      </w:r>
      <w:r w:rsidR="00386AD5" w:rsidRPr="00B44E80">
        <w:t xml:space="preserve"> the north-east corner of dwelling </w:t>
      </w:r>
      <w:r w:rsidR="00E02FAC" w:rsidRPr="00B44E80">
        <w:t xml:space="preserve">3 </w:t>
      </w:r>
      <w:r w:rsidR="00FE3CDA" w:rsidRPr="00B44E80">
        <w:t>to</w:t>
      </w:r>
      <w:r w:rsidR="00817B8A" w:rsidRPr="00B44E80">
        <w:t xml:space="preserve"> </w:t>
      </w:r>
      <w:r w:rsidR="00832D84" w:rsidRPr="00B44E80">
        <w:t xml:space="preserve">be approximately midway </w:t>
      </w:r>
      <w:r w:rsidR="004B7CB3" w:rsidRPr="00B44E80">
        <w:t xml:space="preserve">along the </w:t>
      </w:r>
      <w:r w:rsidR="00817B8A" w:rsidRPr="00B44E80">
        <w:t>north</w:t>
      </w:r>
      <w:r w:rsidR="00E02FAC" w:rsidRPr="00B44E80">
        <w:t>ern wall of the living room of dwelling 3</w:t>
      </w:r>
      <w:r w:rsidR="003F317C" w:rsidRPr="00B44E80">
        <w:t>.</w:t>
      </w:r>
    </w:p>
    <w:p w14:paraId="050244FD" w14:textId="26E11187" w:rsidR="00043766" w:rsidRPr="00B44E80" w:rsidRDefault="00095320" w:rsidP="008315DC">
      <w:pPr>
        <w:pStyle w:val="Condition2"/>
        <w:numPr>
          <w:ilvl w:val="1"/>
          <w:numId w:val="7"/>
        </w:numPr>
      </w:pPr>
      <w:r>
        <w:rPr>
          <w:noProof/>
        </w:rPr>
        <w:lastRenderedPageBreak/>
        <w:drawing>
          <wp:anchor distT="0" distB="0" distL="114300" distR="114300" simplePos="0" relativeHeight="251664384" behindDoc="1" locked="0" layoutInCell="1" allowOverlap="1" wp14:anchorId="236A1F1E" wp14:editId="5BA4F44B">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C5F5E" w:rsidRPr="00B44E80">
        <w:t>P</w:t>
      </w:r>
      <w:r w:rsidR="00043766" w:rsidRPr="00B44E80">
        <w:t>rovision of a north facing window to the living room of dwelling 3</w:t>
      </w:r>
      <w:r w:rsidR="00661949" w:rsidRPr="00B44E80">
        <w:t xml:space="preserve"> (positioned to the </w:t>
      </w:r>
      <w:r w:rsidR="001C233A" w:rsidRPr="00B44E80">
        <w:t>east</w:t>
      </w:r>
      <w:r w:rsidR="00661949" w:rsidRPr="00B44E80">
        <w:t xml:space="preserve"> of the </w:t>
      </w:r>
      <w:r w:rsidR="001C233A" w:rsidRPr="00B44E80">
        <w:t>fence dividing the secluded private open spaces of dwelling 2 and dwelling 3)</w:t>
      </w:r>
      <w:r w:rsidR="00A9115A" w:rsidRPr="00B44E80">
        <w:t>.</w:t>
      </w:r>
    </w:p>
    <w:p w14:paraId="7757FDDB" w14:textId="438855A4" w:rsidR="0092047D" w:rsidRPr="00B44E80" w:rsidRDefault="00F502F0" w:rsidP="008315DC">
      <w:pPr>
        <w:pStyle w:val="Condition2"/>
        <w:numPr>
          <w:ilvl w:val="1"/>
          <w:numId w:val="7"/>
        </w:numPr>
      </w:pPr>
      <w:r w:rsidRPr="00B44E80">
        <w:t xml:space="preserve">The </w:t>
      </w:r>
      <w:r w:rsidR="006546C6" w:rsidRPr="00B44E80">
        <w:t xml:space="preserve">entry doors to dwellings 2 and 3 </w:t>
      </w:r>
      <w:r w:rsidR="00243E18" w:rsidRPr="00B44E80">
        <w:t xml:space="preserve">to include clear glazed panels </w:t>
      </w:r>
      <w:r w:rsidR="00B011AC" w:rsidRPr="00B44E80">
        <w:t xml:space="preserve">sufficient to enable </w:t>
      </w:r>
      <w:r w:rsidR="00D166E8" w:rsidRPr="00B44E80">
        <w:t xml:space="preserve">observation of </w:t>
      </w:r>
      <w:r w:rsidR="004C4EF9" w:rsidRPr="00B44E80">
        <w:t xml:space="preserve">the entry porches and </w:t>
      </w:r>
      <w:r w:rsidR="00D166E8" w:rsidRPr="00B44E80">
        <w:t xml:space="preserve">common accessway from </w:t>
      </w:r>
      <w:r w:rsidR="00356970" w:rsidRPr="00B44E80">
        <w:t xml:space="preserve">the interiors of </w:t>
      </w:r>
      <w:r w:rsidR="00682E9C" w:rsidRPr="00B44E80">
        <w:t>each</w:t>
      </w:r>
      <w:r w:rsidR="00356970" w:rsidRPr="00B44E80">
        <w:t xml:space="preserve"> dwelling.</w:t>
      </w:r>
    </w:p>
    <w:p w14:paraId="604A46EC" w14:textId="70BC3A39" w:rsidR="00595AB3" w:rsidRPr="00B44E80" w:rsidRDefault="007E42C8" w:rsidP="008315DC">
      <w:pPr>
        <w:pStyle w:val="Condition2"/>
        <w:numPr>
          <w:ilvl w:val="1"/>
          <w:numId w:val="7"/>
        </w:numPr>
      </w:pPr>
      <w:r w:rsidRPr="00B44E80">
        <w:t>P</w:t>
      </w:r>
      <w:r w:rsidR="00595AB3" w:rsidRPr="00B44E80">
        <w:t>rovision of a window in the south</w:t>
      </w:r>
      <w:r w:rsidRPr="00B44E80">
        <w:t>ern</w:t>
      </w:r>
      <w:r w:rsidR="00595AB3" w:rsidRPr="00B44E80">
        <w:t xml:space="preserve"> </w:t>
      </w:r>
      <w:r w:rsidRPr="00B44E80">
        <w:t xml:space="preserve">wall of the </w:t>
      </w:r>
      <w:r w:rsidR="003E0CCD" w:rsidRPr="00B44E80">
        <w:t xml:space="preserve">dwelling 1 kitchen to enable observation of the common accessway from the interior </w:t>
      </w:r>
      <w:r w:rsidR="00054199" w:rsidRPr="00B44E80">
        <w:t>of th</w:t>
      </w:r>
      <w:r w:rsidR="00874C18" w:rsidRPr="00B44E80">
        <w:t>e dwelling.</w:t>
      </w:r>
    </w:p>
    <w:p w14:paraId="5FACFD56" w14:textId="43AB167B" w:rsidR="001B7DF3" w:rsidRPr="00B44E80" w:rsidRDefault="00F11732" w:rsidP="008315DC">
      <w:pPr>
        <w:pStyle w:val="Condition2"/>
        <w:numPr>
          <w:ilvl w:val="1"/>
          <w:numId w:val="7"/>
        </w:numPr>
      </w:pPr>
      <w:r w:rsidRPr="00B44E80">
        <w:t>The west facing window to bedroom 2 of dwelling 3</w:t>
      </w:r>
      <w:r w:rsidR="00DA5604" w:rsidRPr="00B44E80">
        <w:t xml:space="preserve"> </w:t>
      </w:r>
      <w:r w:rsidR="009E5787" w:rsidRPr="00B44E80">
        <w:t xml:space="preserve">to be clear glazed </w:t>
      </w:r>
      <w:r w:rsidR="00FC64C1" w:rsidRPr="00B44E80">
        <w:t>to enable observation of the common accessway from the interior of the dwelling</w:t>
      </w:r>
      <w:r w:rsidR="00156C1A" w:rsidRPr="00B44E80">
        <w:t>,</w:t>
      </w:r>
      <w:r w:rsidR="00FC64C1" w:rsidRPr="00B44E80">
        <w:t xml:space="preserve"> </w:t>
      </w:r>
      <w:r w:rsidR="007D5F66" w:rsidRPr="00B44E80">
        <w:t>with a vertical screen to its southern edge</w:t>
      </w:r>
      <w:r w:rsidR="00156C1A" w:rsidRPr="00B44E80">
        <w:t xml:space="preserve"> or other technique</w:t>
      </w:r>
      <w:r w:rsidR="007D5F66" w:rsidRPr="00B44E80">
        <w:t xml:space="preserve"> t</w:t>
      </w:r>
      <w:r w:rsidR="008D5E03" w:rsidRPr="00B44E80">
        <w:t xml:space="preserve">o </w:t>
      </w:r>
      <w:r w:rsidR="00445E08" w:rsidRPr="00B44E80">
        <w:t>limit views in</w:t>
      </w:r>
      <w:r w:rsidR="001F3499" w:rsidRPr="00B44E80">
        <w:t>t</w:t>
      </w:r>
      <w:r w:rsidR="00445E08" w:rsidRPr="00B44E80">
        <w:t xml:space="preserve">o the </w:t>
      </w:r>
      <w:r w:rsidR="001F3499" w:rsidRPr="00B44E80">
        <w:t xml:space="preserve">secluded private open space of the </w:t>
      </w:r>
      <w:r w:rsidR="00F17CDE" w:rsidRPr="00B44E80">
        <w:t xml:space="preserve">adjoining property to the south in accordance with standard B22 at cluse 55.04-6 of the planning </w:t>
      </w:r>
      <w:r w:rsidR="00AE0F4A" w:rsidRPr="00B44E80">
        <w:t>scheme</w:t>
      </w:r>
      <w:r w:rsidR="00F17CDE" w:rsidRPr="00B44E80">
        <w:t>.</w:t>
      </w:r>
    </w:p>
    <w:p w14:paraId="0BA13614" w14:textId="7E712436" w:rsidR="00004CB5" w:rsidRPr="00B44E80" w:rsidRDefault="00004CB5" w:rsidP="008315DC">
      <w:pPr>
        <w:pStyle w:val="Condition2"/>
        <w:numPr>
          <w:ilvl w:val="1"/>
          <w:numId w:val="7"/>
        </w:numPr>
      </w:pPr>
      <w:r w:rsidRPr="00B44E80">
        <w:t xml:space="preserve">A notation that the existing vehicle crossing </w:t>
      </w:r>
      <w:r w:rsidR="00835405" w:rsidRPr="00B44E80">
        <w:t>is</w:t>
      </w:r>
      <w:r w:rsidRPr="00B44E80">
        <w:t xml:space="preserve"> to be reconstructed and align with the driveway to Council standards.</w:t>
      </w:r>
    </w:p>
    <w:p w14:paraId="42A4546A" w14:textId="77777777" w:rsidR="00004CB5" w:rsidRPr="00B44E80" w:rsidRDefault="00004CB5" w:rsidP="008315DC">
      <w:pPr>
        <w:pStyle w:val="Condition2"/>
        <w:numPr>
          <w:ilvl w:val="1"/>
          <w:numId w:val="7"/>
        </w:numPr>
      </w:pPr>
      <w:r w:rsidRPr="00B44E80">
        <w:t>The location and design of any proposed electricity supply meter boxes. The electricity supply meter boxes must be located at or behind the facade of buildings on the site.</w:t>
      </w:r>
    </w:p>
    <w:p w14:paraId="1928125F" w14:textId="77777777" w:rsidR="00004CB5" w:rsidRPr="00B44E80" w:rsidRDefault="00004CB5" w:rsidP="00F52D41">
      <w:pPr>
        <w:pStyle w:val="Condition2"/>
        <w:numPr>
          <w:ilvl w:val="0"/>
          <w:numId w:val="0"/>
        </w:numPr>
        <w:ind w:left="567"/>
      </w:pPr>
      <w:r w:rsidRPr="00B44E80">
        <w:rPr>
          <w:lang w:eastAsia="en-AU"/>
        </w:rPr>
        <w:t>All to the satisfaction of the Responsible Authority.</w:t>
      </w:r>
    </w:p>
    <w:p w14:paraId="327B2366" w14:textId="77777777" w:rsidR="0062178A" w:rsidRPr="00B44E80" w:rsidRDefault="0062178A" w:rsidP="00F45608">
      <w:pPr>
        <w:pStyle w:val="Heading3"/>
        <w:rPr>
          <w:lang w:eastAsia="en-AU"/>
        </w:rPr>
      </w:pPr>
      <w:r w:rsidRPr="00B44E80">
        <w:rPr>
          <w:lang w:eastAsia="en-AU"/>
        </w:rPr>
        <w:t>No Alteration or Changes</w:t>
      </w:r>
    </w:p>
    <w:p w14:paraId="4A2CB589" w14:textId="77777777" w:rsidR="0062178A" w:rsidRPr="00B44E80" w:rsidRDefault="0062178A" w:rsidP="002B6409">
      <w:pPr>
        <w:pStyle w:val="Condition2"/>
        <w:rPr>
          <w:color w:val="000000"/>
        </w:rPr>
      </w:pPr>
      <w:r w:rsidRPr="00B44E80">
        <w:t>The development as shown on the endorsed plans must not be altered without the prior written consent of the Responsible Authority.</w:t>
      </w:r>
    </w:p>
    <w:p w14:paraId="2C591220" w14:textId="77777777" w:rsidR="0062178A" w:rsidRPr="00B44E80" w:rsidRDefault="0062178A" w:rsidP="00A510CA">
      <w:pPr>
        <w:pStyle w:val="Heading3"/>
      </w:pPr>
      <w:r w:rsidRPr="00B44E80">
        <w:t>Landscaping</w:t>
      </w:r>
    </w:p>
    <w:p w14:paraId="1089A20E" w14:textId="759FF413" w:rsidR="0062178A" w:rsidRPr="00B44E80" w:rsidRDefault="0062178A" w:rsidP="00A510CA">
      <w:pPr>
        <w:pStyle w:val="Condition2"/>
        <w:rPr>
          <w:sz w:val="24"/>
        </w:rPr>
      </w:pPr>
      <w:r w:rsidRPr="00B44E80">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0B1A9D46" w14:textId="77777777" w:rsidR="0062178A" w:rsidRPr="00B44E80" w:rsidRDefault="0062178A" w:rsidP="008315DC">
      <w:pPr>
        <w:pStyle w:val="Condition2"/>
        <w:numPr>
          <w:ilvl w:val="1"/>
          <w:numId w:val="7"/>
        </w:numPr>
      </w:pPr>
      <w:r w:rsidRPr="00B44E80">
        <w:t>the location of all existing trees and other vegetation to be retained on site</w:t>
      </w:r>
    </w:p>
    <w:p w14:paraId="17104406" w14:textId="77777777" w:rsidR="0062178A" w:rsidRPr="00B44E80" w:rsidRDefault="0062178A" w:rsidP="008315DC">
      <w:pPr>
        <w:pStyle w:val="Condition2"/>
        <w:numPr>
          <w:ilvl w:val="1"/>
          <w:numId w:val="7"/>
        </w:numPr>
      </w:pPr>
      <w:r w:rsidRPr="00B44E80">
        <w:t>provision of canopy trees with spreading crowns located throughout the site including the major open space areas of the development</w:t>
      </w:r>
    </w:p>
    <w:p w14:paraId="660E597E" w14:textId="77777777" w:rsidR="0062178A" w:rsidRPr="00B44E80" w:rsidRDefault="0062178A" w:rsidP="008315DC">
      <w:pPr>
        <w:pStyle w:val="Condition2"/>
        <w:numPr>
          <w:ilvl w:val="1"/>
          <w:numId w:val="7"/>
        </w:numPr>
      </w:pPr>
      <w:r w:rsidRPr="00B44E80">
        <w:t>planting to soften the appearance of hard surface areas such as driveways and other paved areas</w:t>
      </w:r>
    </w:p>
    <w:p w14:paraId="4F8C2345" w14:textId="500CFF37" w:rsidR="0062178A" w:rsidRPr="00B44E80" w:rsidRDefault="0062178A" w:rsidP="008315DC">
      <w:pPr>
        <w:pStyle w:val="Condition2"/>
        <w:numPr>
          <w:ilvl w:val="1"/>
          <w:numId w:val="7"/>
        </w:numPr>
      </w:pPr>
      <w:r w:rsidRPr="00B44E80">
        <w:t xml:space="preserve">a schedule of all proposed trees, shrubs and ground cover, which will include the size of all plants (at planting and at maturity), their </w:t>
      </w:r>
      <w:r w:rsidR="00095320">
        <w:rPr>
          <w:noProof/>
        </w:rPr>
        <w:lastRenderedPageBreak/>
        <w:drawing>
          <wp:anchor distT="0" distB="0" distL="114300" distR="114300" simplePos="0" relativeHeight="251665408" behindDoc="1" locked="0" layoutInCell="1" allowOverlap="1" wp14:anchorId="1DA7B3C7" wp14:editId="2CB9A31D">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44E80">
        <w:t>location, botanical names and the location of all areas to be covered by grass, lawn, mulch or other surface material</w:t>
      </w:r>
    </w:p>
    <w:p w14:paraId="4E31E881" w14:textId="77777777" w:rsidR="0062178A" w:rsidRPr="00B44E80" w:rsidRDefault="0062178A" w:rsidP="008315DC">
      <w:pPr>
        <w:pStyle w:val="Condition2"/>
        <w:numPr>
          <w:ilvl w:val="1"/>
          <w:numId w:val="7"/>
        </w:numPr>
      </w:pPr>
      <w:r w:rsidRPr="00B44E80">
        <w:t>the location and details of all fencing</w:t>
      </w:r>
    </w:p>
    <w:p w14:paraId="6BB17FEB" w14:textId="77777777" w:rsidR="0062178A" w:rsidRPr="00B44E80" w:rsidRDefault="0062178A" w:rsidP="008315DC">
      <w:pPr>
        <w:pStyle w:val="Condition2"/>
        <w:numPr>
          <w:ilvl w:val="1"/>
          <w:numId w:val="7"/>
        </w:numPr>
      </w:pPr>
      <w:r w:rsidRPr="00B44E80">
        <w:t>the extent of any cut, fill, embankments or retaining walls associated with the landscape treatment of the site</w:t>
      </w:r>
    </w:p>
    <w:p w14:paraId="13853929" w14:textId="77777777" w:rsidR="0062178A" w:rsidRPr="00B44E80" w:rsidRDefault="0062178A" w:rsidP="008315DC">
      <w:pPr>
        <w:pStyle w:val="Condition2"/>
        <w:numPr>
          <w:ilvl w:val="1"/>
          <w:numId w:val="7"/>
        </w:numPr>
      </w:pPr>
      <w:r w:rsidRPr="00B44E80">
        <w:t>details of all proposed hard surface materials including pathways, patio or decked areas</w:t>
      </w:r>
    </w:p>
    <w:p w14:paraId="716A95ED" w14:textId="77777777" w:rsidR="0062178A" w:rsidRPr="00B44E80" w:rsidRDefault="0062178A" w:rsidP="00A80207">
      <w:pPr>
        <w:pStyle w:val="Condition2"/>
        <w:numPr>
          <w:ilvl w:val="0"/>
          <w:numId w:val="0"/>
        </w:numPr>
        <w:ind w:left="567"/>
        <w:rPr>
          <w:lang w:eastAsia="en-AU"/>
        </w:rPr>
      </w:pPr>
      <w:r w:rsidRPr="00B44E80">
        <w:rPr>
          <w:lang w:eastAsia="en-AU"/>
        </w:rPr>
        <w:t>When approved the plan will be endorsed and will then form part of the permit.</w:t>
      </w:r>
    </w:p>
    <w:p w14:paraId="6347ED55" w14:textId="77777777" w:rsidR="0062178A" w:rsidRPr="00B44E80" w:rsidRDefault="0062178A" w:rsidP="00A80207">
      <w:pPr>
        <w:pStyle w:val="Heading3"/>
      </w:pPr>
      <w:r w:rsidRPr="00B44E80">
        <w:t>Landscaping Prior to Occupation</w:t>
      </w:r>
    </w:p>
    <w:p w14:paraId="5968C320" w14:textId="77777777" w:rsidR="0062178A" w:rsidRPr="00B44E80" w:rsidRDefault="0062178A" w:rsidP="00A80207">
      <w:pPr>
        <w:pStyle w:val="Condition2"/>
        <w:rPr>
          <w:sz w:val="24"/>
        </w:rPr>
      </w:pPr>
      <w:r w:rsidRPr="00B44E80">
        <w:t>Before the occupation of the buildings allowed by this permit, landscaping works as shown on the endorsed plans must be completed to the satisfaction of the Responsible Authority and then maintained to the satisfaction of the Responsible Authority.</w:t>
      </w:r>
    </w:p>
    <w:p w14:paraId="16467E07" w14:textId="77777777" w:rsidR="0062178A" w:rsidRPr="00B44E80" w:rsidRDefault="0062178A" w:rsidP="00CA761E">
      <w:pPr>
        <w:pStyle w:val="Heading3"/>
      </w:pPr>
      <w:r w:rsidRPr="00B44E80">
        <w:t>Drainage</w:t>
      </w:r>
    </w:p>
    <w:p w14:paraId="0538B07E" w14:textId="77777777" w:rsidR="0062178A" w:rsidRPr="00B44E80" w:rsidRDefault="0062178A" w:rsidP="00CA761E">
      <w:pPr>
        <w:pStyle w:val="Condition2"/>
      </w:pPr>
      <w:r w:rsidRPr="00B44E80">
        <w:t>All stormwater collected on the site from all hard surface areas must not be allowed to flow uncontrolled into adjoining properties or the road reserve.</w:t>
      </w:r>
      <w:bookmarkStart w:id="18" w:name="DET"/>
      <w:bookmarkEnd w:id="18"/>
    </w:p>
    <w:p w14:paraId="66681937" w14:textId="77777777" w:rsidR="0062178A" w:rsidRPr="00B44E80" w:rsidRDefault="0062178A" w:rsidP="00CA761E">
      <w:pPr>
        <w:pStyle w:val="Condition2"/>
      </w:pPr>
      <w:r w:rsidRPr="00B44E80">
        <w:t>The private on-site drainage system must prevent stormwater discharge from the/each driveway over the footpath and into the road reserve.  The internal drainage system may include either:</w:t>
      </w:r>
    </w:p>
    <w:p w14:paraId="429C5295" w14:textId="77777777" w:rsidR="0062178A" w:rsidRPr="00B44E80" w:rsidRDefault="0062178A" w:rsidP="008315DC">
      <w:pPr>
        <w:pStyle w:val="Condition2"/>
        <w:numPr>
          <w:ilvl w:val="1"/>
          <w:numId w:val="7"/>
        </w:numPr>
        <w:rPr>
          <w:sz w:val="24"/>
          <w:szCs w:val="24"/>
        </w:rPr>
      </w:pPr>
      <w:r w:rsidRPr="00B44E80">
        <w:t>a trench grate (minimum internal width of 150 mm) located within the property boundary and not the back of footpath; and/or</w:t>
      </w:r>
    </w:p>
    <w:p w14:paraId="021904C9" w14:textId="77777777" w:rsidR="0062178A" w:rsidRPr="00B44E80" w:rsidRDefault="0062178A" w:rsidP="008315DC">
      <w:pPr>
        <w:pStyle w:val="Condition2"/>
        <w:numPr>
          <w:ilvl w:val="1"/>
          <w:numId w:val="7"/>
        </w:numPr>
      </w:pPr>
      <w:r w:rsidRPr="00B44E80">
        <w:t>shaping the internal driveway so that stormwater is collected in grated pits within the property; and or</w:t>
      </w:r>
    </w:p>
    <w:p w14:paraId="14D940A7" w14:textId="77777777" w:rsidR="0062178A" w:rsidRPr="00B44E80" w:rsidRDefault="0062178A" w:rsidP="008315DC">
      <w:pPr>
        <w:pStyle w:val="Condition2"/>
        <w:numPr>
          <w:ilvl w:val="1"/>
          <w:numId w:val="7"/>
        </w:numPr>
      </w:pPr>
      <w:r w:rsidRPr="00B44E80">
        <w:t>another Council approved equivalent.</w:t>
      </w:r>
    </w:p>
    <w:p w14:paraId="6D9211E5" w14:textId="77777777" w:rsidR="0062178A" w:rsidRPr="00B44E80" w:rsidRDefault="0062178A" w:rsidP="00CA761E">
      <w:pPr>
        <w:pStyle w:val="Condition2"/>
      </w:pPr>
      <w:r w:rsidRPr="00B44E80">
        <w:t>All stormwater collected on the site is to be detained on site to the predevelopment level of peak stormwater discharge.  The design of any internal detention system is to be approved by Council’s Engineering Department prior to drainage works commencing.</w:t>
      </w:r>
      <w:bookmarkStart w:id="19" w:name="LPOD"/>
      <w:bookmarkEnd w:id="19"/>
    </w:p>
    <w:p w14:paraId="0E5DDCB7" w14:textId="77777777" w:rsidR="0062178A" w:rsidRPr="00B44E80" w:rsidRDefault="0062178A" w:rsidP="00CA761E">
      <w:pPr>
        <w:pStyle w:val="Condition2"/>
      </w:pPr>
      <w:r w:rsidRPr="00B44E80">
        <w:t>The nominated point of stormwater connection for the site is to the south-west corner of the property where the entire site's stormwater must be collected and free drained via a pipe to the kerb and channel in the naturestrip via a Council approved kerb adaptor to be constructed to Council Standards. Note: If the point of connection cannot be located then notify Council's Engineering Department immediately.</w:t>
      </w:r>
    </w:p>
    <w:p w14:paraId="25821BE9" w14:textId="77777777" w:rsidR="0062178A" w:rsidRPr="00B44E80" w:rsidRDefault="0062178A" w:rsidP="00CA761E">
      <w:pPr>
        <w:pStyle w:val="Heading3"/>
      </w:pPr>
      <w:r w:rsidRPr="00B44E80">
        <w:t>Road Infrastructure</w:t>
      </w:r>
    </w:p>
    <w:p w14:paraId="342161D7" w14:textId="77777777" w:rsidR="0062178A" w:rsidRPr="00B44E80" w:rsidRDefault="0062178A" w:rsidP="00CA761E">
      <w:pPr>
        <w:pStyle w:val="Condition2"/>
      </w:pPr>
      <w:r w:rsidRPr="00B44E80">
        <w:t>All new vehicle crossings must be a minimum of 3.0 metres in width and constructed in accordance with Council standards</w:t>
      </w:r>
      <w:bookmarkStart w:id="20" w:name="CROSSINGS2"/>
      <w:bookmarkStart w:id="21" w:name="CROSSINGS3"/>
      <w:bookmarkStart w:id="22" w:name="CROSSINGS4"/>
      <w:bookmarkStart w:id="23" w:name="CROSSINGS6"/>
      <w:bookmarkEnd w:id="20"/>
      <w:bookmarkEnd w:id="21"/>
      <w:bookmarkEnd w:id="22"/>
      <w:bookmarkEnd w:id="23"/>
      <w:r w:rsidRPr="00B44E80">
        <w:t>.</w:t>
      </w:r>
    </w:p>
    <w:p w14:paraId="12D41B61" w14:textId="437FD4D6" w:rsidR="0062178A" w:rsidRPr="00B44E80" w:rsidRDefault="00095320" w:rsidP="00CA761E">
      <w:pPr>
        <w:pStyle w:val="Condition2"/>
      </w:pPr>
      <w:r>
        <w:rPr>
          <w:noProof/>
        </w:rPr>
        <w:lastRenderedPageBreak/>
        <w:drawing>
          <wp:anchor distT="0" distB="0" distL="114300" distR="114300" simplePos="0" relativeHeight="251666432" behindDoc="1" locked="0" layoutInCell="1" allowOverlap="1" wp14:anchorId="1A14E252" wp14:editId="37C804B2">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2178A" w:rsidRPr="00B44E80">
        <w:t>Any works within the road reserve must ensure the footpath and naturestrip are to be reinstated to Council standards.</w:t>
      </w:r>
    </w:p>
    <w:p w14:paraId="06B7A2C6" w14:textId="77777777" w:rsidR="0062178A" w:rsidRPr="00B44E80" w:rsidRDefault="0062178A" w:rsidP="00CA761E">
      <w:pPr>
        <w:pStyle w:val="Heading3"/>
      </w:pPr>
      <w:r w:rsidRPr="00B44E80">
        <w:t>Traffic</w:t>
      </w:r>
    </w:p>
    <w:p w14:paraId="7AD61747" w14:textId="77777777" w:rsidR="0062178A" w:rsidRPr="00B44E80" w:rsidRDefault="0062178A" w:rsidP="00CA761E">
      <w:pPr>
        <w:pStyle w:val="Condition2"/>
        <w:rPr>
          <w:sz w:val="24"/>
        </w:rPr>
      </w:pPr>
      <w:r w:rsidRPr="00B44E80">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or from the edge of each vehicle crossing to provide a clear view of pedestrians on the footpath of the frontage road.</w:t>
      </w:r>
    </w:p>
    <w:p w14:paraId="352DCBAF" w14:textId="77777777" w:rsidR="0062178A" w:rsidRPr="00B44E80" w:rsidRDefault="0062178A" w:rsidP="007E5CEC">
      <w:pPr>
        <w:pStyle w:val="Heading3"/>
      </w:pPr>
      <w:r w:rsidRPr="00B44E80">
        <w:t>Completion of Buildings and Works</w:t>
      </w:r>
    </w:p>
    <w:p w14:paraId="45C0EE8C" w14:textId="77777777" w:rsidR="0062178A" w:rsidRPr="00B44E80" w:rsidRDefault="0062178A" w:rsidP="007E5CEC">
      <w:pPr>
        <w:pStyle w:val="Condition2"/>
        <w:rPr>
          <w:sz w:val="24"/>
        </w:rPr>
      </w:pPr>
      <w:r w:rsidRPr="00B44E80">
        <w:t>Once the development has started it must be continued and completed to the satisfaction of the Responsible Authority.</w:t>
      </w:r>
    </w:p>
    <w:p w14:paraId="430BFBD6" w14:textId="7F9C264B" w:rsidR="0062178A" w:rsidRPr="00B44E80" w:rsidRDefault="0062178A" w:rsidP="007E5CEC">
      <w:pPr>
        <w:pStyle w:val="Heading3"/>
      </w:pPr>
      <w:r w:rsidRPr="00B44E80">
        <w:t>Permit Expiry</w:t>
      </w:r>
    </w:p>
    <w:p w14:paraId="66D9DA20" w14:textId="77777777" w:rsidR="0062178A" w:rsidRPr="00B44E80" w:rsidRDefault="0062178A" w:rsidP="00F96DEE">
      <w:pPr>
        <w:pStyle w:val="Condition2"/>
        <w:rPr>
          <w:sz w:val="24"/>
        </w:rPr>
      </w:pPr>
      <w:r w:rsidRPr="00B44E80">
        <w:t xml:space="preserve">This permit will expire in accordance with section 68 of the </w:t>
      </w:r>
      <w:r w:rsidRPr="00B44E80">
        <w:rPr>
          <w:i/>
        </w:rPr>
        <w:t>Planning and Environment Act 1987</w:t>
      </w:r>
      <w:r w:rsidRPr="00B44E80">
        <w:t>, if one of the following circumstances applies:</w:t>
      </w:r>
    </w:p>
    <w:p w14:paraId="4E91FAD4" w14:textId="77777777" w:rsidR="0062178A" w:rsidRPr="00B44E80" w:rsidRDefault="0062178A" w:rsidP="008315DC">
      <w:pPr>
        <w:pStyle w:val="Condition2"/>
        <w:numPr>
          <w:ilvl w:val="1"/>
          <w:numId w:val="7"/>
        </w:numPr>
      </w:pPr>
      <w:r w:rsidRPr="00B44E80">
        <w:t>The development has not started before two (2) years from the date of issue.</w:t>
      </w:r>
    </w:p>
    <w:p w14:paraId="515084DC" w14:textId="77777777" w:rsidR="0062178A" w:rsidRPr="00B44E80" w:rsidRDefault="0062178A" w:rsidP="008315DC">
      <w:pPr>
        <w:pStyle w:val="Condition2"/>
        <w:numPr>
          <w:ilvl w:val="1"/>
          <w:numId w:val="7"/>
        </w:numPr>
      </w:pPr>
      <w:r w:rsidRPr="00B44E80">
        <w:t>The development is not completed before four (4) years from the date of issue.</w:t>
      </w:r>
    </w:p>
    <w:p w14:paraId="1905D0B4" w14:textId="77777777" w:rsidR="0062178A" w:rsidRPr="00B44E80" w:rsidRDefault="0062178A" w:rsidP="00F96DEE">
      <w:pPr>
        <w:pStyle w:val="Condition2"/>
        <w:numPr>
          <w:ilvl w:val="0"/>
          <w:numId w:val="0"/>
        </w:numPr>
        <w:ind w:left="567"/>
        <w:rPr>
          <w:lang w:eastAsia="en-AU"/>
        </w:rPr>
      </w:pPr>
      <w:r w:rsidRPr="00B44E80">
        <w:rPr>
          <w:lang w:eastAsia="en-AU"/>
        </w:rPr>
        <w:t xml:space="preserve">In accordance with section 69 of the </w:t>
      </w:r>
      <w:r w:rsidRPr="00B44E80">
        <w:rPr>
          <w:i/>
          <w:iCs/>
          <w:lang w:eastAsia="en-AU"/>
        </w:rPr>
        <w:t>Planning and Environment Act 1987</w:t>
      </w:r>
      <w:r w:rsidRPr="00B44E80">
        <w:rPr>
          <w:lang w:eastAsia="en-AU"/>
        </w:rP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038BA547" w14:textId="77777777" w:rsidR="0071474C" w:rsidRPr="00B44E80" w:rsidRDefault="0071474C" w:rsidP="0071474C">
      <w:pPr>
        <w:pStyle w:val="Order1"/>
      </w:pPr>
    </w:p>
    <w:p w14:paraId="1F505336" w14:textId="77777777" w:rsidR="0071474C" w:rsidRDefault="0071474C" w:rsidP="0071474C">
      <w:pPr>
        <w:pStyle w:val="Order1"/>
        <w:jc w:val="center"/>
        <w:rPr>
          <w:b/>
        </w:rPr>
      </w:pPr>
      <w:r w:rsidRPr="00B44E80">
        <w:rPr>
          <w:b/>
        </w:rPr>
        <w:t>– End of conditions –</w:t>
      </w:r>
    </w:p>
    <w:p w14:paraId="17985797" w14:textId="4A64F639" w:rsidR="009B40E1" w:rsidRDefault="009B40E1" w:rsidP="009B40E1"/>
    <w:sectPr w:rsidR="009B40E1">
      <w:headerReference w:type="even" r:id="rId11"/>
      <w:headerReference w:type="default" r:id="rId12"/>
      <w:footerReference w:type="even" r:id="rId13"/>
      <w:footerReference w:type="default" r:id="rId14"/>
      <w:headerReference w:type="first" r:id="rId15"/>
      <w:footerReference w:type="first" r:id="rId16"/>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58FE" w14:textId="77777777" w:rsidR="00745FBF" w:rsidRDefault="00745FBF">
      <w:r>
        <w:separator/>
      </w:r>
    </w:p>
  </w:endnote>
  <w:endnote w:type="continuationSeparator" w:id="0">
    <w:p w14:paraId="636CEE2A" w14:textId="77777777" w:rsidR="00745FBF" w:rsidRDefault="0074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BF0E" w14:textId="77777777" w:rsidR="005E0F4C" w:rsidRDefault="005E0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2362D8" w14:paraId="592FD3FA" w14:textId="77777777">
      <w:trPr>
        <w:cantSplit/>
      </w:trPr>
      <w:tc>
        <w:tcPr>
          <w:tcW w:w="3884" w:type="pct"/>
        </w:tcPr>
        <w:p w14:paraId="57374C9C" w14:textId="450A892C" w:rsidR="002362D8" w:rsidRPr="0021327C" w:rsidRDefault="002362D8">
          <w:pPr>
            <w:pStyle w:val="Footer"/>
            <w:spacing w:beforeLines="60" w:before="144"/>
            <w:rPr>
              <w:rFonts w:cs="Arial"/>
              <w:sz w:val="18"/>
              <w:szCs w:val="18"/>
            </w:rPr>
          </w:pPr>
          <w:bookmarkStart w:id="24" w:name="FooterDescription"/>
          <w:bookmarkStart w:id="25" w:name="FooterFileNo1"/>
          <w:bookmarkEnd w:id="24"/>
          <w:bookmarkEnd w:id="25"/>
          <w:r w:rsidRPr="0021327C">
            <w:rPr>
              <w:rFonts w:cs="Arial"/>
              <w:sz w:val="18"/>
              <w:szCs w:val="18"/>
            </w:rPr>
            <w:t xml:space="preserve">VCAT Reference No. </w:t>
          </w:r>
          <w:r w:rsidR="0021327C" w:rsidRPr="0021327C">
            <w:rPr>
              <w:rFonts w:cs="Arial"/>
              <w:sz w:val="18"/>
              <w:szCs w:val="18"/>
            </w:rPr>
            <w:t>P2144/2019</w:t>
          </w:r>
        </w:p>
      </w:tc>
      <w:tc>
        <w:tcPr>
          <w:tcW w:w="1116" w:type="pct"/>
        </w:tcPr>
        <w:p w14:paraId="7F82D4EF" w14:textId="77777777" w:rsidR="002362D8" w:rsidRDefault="002362D8">
          <w:pPr>
            <w:pStyle w:val="Footer"/>
            <w:spacing w:beforeLines="60" w:before="144"/>
            <w:jc w:val="right"/>
            <w:rPr>
              <w:rFonts w:cs="Arial"/>
              <w:sz w:val="18"/>
              <w:szCs w:val="18"/>
            </w:rPr>
          </w:pPr>
          <w:r w:rsidRPr="0021327C">
            <w:rPr>
              <w:rFonts w:cs="Arial"/>
              <w:sz w:val="18"/>
              <w:szCs w:val="18"/>
            </w:rPr>
            <w:t xml:space="preserve">Page </w:t>
          </w:r>
          <w:r w:rsidRPr="0021327C">
            <w:rPr>
              <w:rStyle w:val="PageNumber"/>
              <w:rFonts w:cs="Arial"/>
              <w:sz w:val="18"/>
              <w:szCs w:val="18"/>
            </w:rPr>
            <w:fldChar w:fldCharType="begin"/>
          </w:r>
          <w:r w:rsidRPr="0021327C">
            <w:rPr>
              <w:rStyle w:val="PageNumber"/>
              <w:rFonts w:cs="Arial"/>
              <w:sz w:val="18"/>
              <w:szCs w:val="18"/>
            </w:rPr>
            <w:instrText xml:space="preserve"> PAGE </w:instrText>
          </w:r>
          <w:r w:rsidRPr="0021327C">
            <w:rPr>
              <w:rStyle w:val="PageNumber"/>
              <w:rFonts w:cs="Arial"/>
              <w:sz w:val="18"/>
              <w:szCs w:val="18"/>
            </w:rPr>
            <w:fldChar w:fldCharType="separate"/>
          </w:r>
          <w:r w:rsidR="001C4FFE" w:rsidRPr="0021327C">
            <w:rPr>
              <w:rStyle w:val="PageNumber"/>
              <w:rFonts w:cs="Arial"/>
              <w:noProof/>
              <w:sz w:val="18"/>
              <w:szCs w:val="18"/>
            </w:rPr>
            <w:t>6</w:t>
          </w:r>
          <w:r w:rsidRPr="0021327C">
            <w:rPr>
              <w:rStyle w:val="PageNumber"/>
              <w:rFonts w:cs="Arial"/>
              <w:sz w:val="18"/>
              <w:szCs w:val="18"/>
            </w:rPr>
            <w:fldChar w:fldCharType="end"/>
          </w:r>
          <w:r w:rsidRPr="0021327C">
            <w:rPr>
              <w:rStyle w:val="PageNumber"/>
              <w:rFonts w:cs="Arial"/>
              <w:sz w:val="18"/>
              <w:szCs w:val="18"/>
            </w:rPr>
            <w:t xml:space="preserve"> of </w:t>
          </w:r>
          <w:r w:rsidRPr="0021327C">
            <w:rPr>
              <w:rStyle w:val="PageNumber"/>
              <w:rFonts w:cs="Arial"/>
              <w:sz w:val="18"/>
              <w:szCs w:val="18"/>
            </w:rPr>
            <w:fldChar w:fldCharType="begin"/>
          </w:r>
          <w:r w:rsidRPr="0021327C">
            <w:rPr>
              <w:rStyle w:val="PageNumber"/>
              <w:rFonts w:cs="Arial"/>
              <w:sz w:val="18"/>
              <w:szCs w:val="18"/>
            </w:rPr>
            <w:instrText xml:space="preserve"> NUMPAGES </w:instrText>
          </w:r>
          <w:r w:rsidRPr="0021327C">
            <w:rPr>
              <w:rStyle w:val="PageNumber"/>
              <w:rFonts w:cs="Arial"/>
              <w:sz w:val="18"/>
              <w:szCs w:val="18"/>
            </w:rPr>
            <w:fldChar w:fldCharType="separate"/>
          </w:r>
          <w:r w:rsidR="001C4FFE" w:rsidRPr="0021327C">
            <w:rPr>
              <w:rStyle w:val="PageNumber"/>
              <w:rFonts w:cs="Arial"/>
              <w:noProof/>
              <w:sz w:val="18"/>
              <w:szCs w:val="18"/>
            </w:rPr>
            <w:t>7</w:t>
          </w:r>
          <w:r w:rsidRPr="0021327C">
            <w:rPr>
              <w:rStyle w:val="PageNumber"/>
              <w:rFonts w:cs="Arial"/>
              <w:sz w:val="18"/>
              <w:szCs w:val="18"/>
            </w:rPr>
            <w:fldChar w:fldCharType="end"/>
          </w:r>
        </w:p>
      </w:tc>
    </w:tr>
  </w:tbl>
  <w:p w14:paraId="1AE4011A" w14:textId="77777777" w:rsidR="002362D8" w:rsidRDefault="002362D8">
    <w:pPr>
      <w:pStyle w:val="Footer"/>
      <w:rPr>
        <w:sz w:val="2"/>
      </w:rPr>
    </w:pPr>
  </w:p>
  <w:p w14:paraId="380B0FC6" w14:textId="77777777" w:rsidR="002362D8" w:rsidRDefault="002362D8">
    <w:pPr>
      <w:rPr>
        <w:sz w:val="2"/>
      </w:rPr>
    </w:pPr>
  </w:p>
  <w:p w14:paraId="1B68E3CB" w14:textId="77777777" w:rsidR="002362D8" w:rsidRDefault="002362D8">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A90B" w14:textId="77777777" w:rsidR="005E0F4C" w:rsidRDefault="005E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24B6" w14:textId="77777777" w:rsidR="00745FBF" w:rsidRDefault="00745FBF">
      <w:r>
        <w:separator/>
      </w:r>
    </w:p>
  </w:footnote>
  <w:footnote w:type="continuationSeparator" w:id="0">
    <w:p w14:paraId="78DD5A55" w14:textId="77777777" w:rsidR="00745FBF" w:rsidRDefault="00745FBF">
      <w:r>
        <w:continuationSeparator/>
      </w:r>
    </w:p>
  </w:footnote>
  <w:footnote w:id="1">
    <w:p w14:paraId="3FBEC0DA" w14:textId="77777777" w:rsidR="00136D56" w:rsidRDefault="00136D56" w:rsidP="0021327C">
      <w:pPr>
        <w:pStyle w:val="FootnoteText"/>
        <w:ind w:left="284" w:hanging="284"/>
      </w:pPr>
      <w:r>
        <w:rPr>
          <w:rStyle w:val="FootnoteReference"/>
        </w:rPr>
        <w:footnoteRef/>
      </w:r>
      <w:r>
        <w:t xml:space="preserve"> </w:t>
      </w:r>
      <w:r>
        <w:tab/>
        <w:t xml:space="preserve">Section 4(2)(d) of the </w:t>
      </w:r>
      <w:r>
        <w:rPr>
          <w:i/>
        </w:rPr>
        <w:t>Victorian Civil and Administrative Tribunal Act 1998</w:t>
      </w:r>
      <w:r>
        <w:t xml:space="preserve"> states a failure to make a decision is deemed to be a decision to refuse to make the decision.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C5FE" w14:textId="77777777" w:rsidR="005E0F4C" w:rsidRDefault="005E0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A251" w14:textId="77777777" w:rsidR="005E0F4C" w:rsidRDefault="005E0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7D4B" w14:textId="77777777" w:rsidR="005E0F4C" w:rsidRDefault="005E0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1283"/>
    <w:multiLevelType w:val="hybridMultilevel"/>
    <w:tmpl w:val="36DE3946"/>
    <w:lvl w:ilvl="0" w:tplc="9E407D10">
      <w:start w:val="1"/>
      <w:numFmt w:val="decimal"/>
      <w:pStyle w:val="Para1"/>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B893A7F"/>
    <w:multiLevelType w:val="hybridMultilevel"/>
    <w:tmpl w:val="A59A9106"/>
    <w:lvl w:ilvl="0" w:tplc="2E6660E8">
      <w:start w:val="1"/>
      <w:numFmt w:val="lowerLetter"/>
      <w:pStyle w:val="Para4"/>
      <w:lvlText w:val="%1"/>
      <w:lvlJc w:val="left"/>
      <w:pPr>
        <w:tabs>
          <w:tab w:val="num" w:pos="1134"/>
        </w:tabs>
        <w:ind w:left="1134" w:hanging="567"/>
      </w:pPr>
      <w:rPr>
        <w:rFonts w:hint="default"/>
      </w:rPr>
    </w:lvl>
    <w:lvl w:ilvl="1" w:tplc="0C090019">
      <w:start w:val="1"/>
      <w:numFmt w:val="bullet"/>
      <w:lvlText w:val=""/>
      <w:lvlJc w:val="left"/>
      <w:pPr>
        <w:tabs>
          <w:tab w:val="num" w:pos="1134"/>
        </w:tabs>
        <w:ind w:left="1134" w:hanging="56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start w:val="1"/>
      <w:numFmt w:val="lowerLetter"/>
      <w:pStyle w:val="Para4"/>
      <w:lvlText w:val="%5."/>
      <w:lvlJc w:val="left"/>
      <w:pPr>
        <w:tabs>
          <w:tab w:val="num" w:pos="1134"/>
        </w:tabs>
        <w:ind w:left="1134" w:hanging="567"/>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32A618D"/>
    <w:multiLevelType w:val="hybridMultilevel"/>
    <w:tmpl w:val="9EC46206"/>
    <w:lvl w:ilvl="0" w:tplc="6D527BE2">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456CB"/>
    <w:multiLevelType w:val="multilevel"/>
    <w:tmpl w:val="1DD82E34"/>
    <w:lvl w:ilvl="0">
      <w:start w:val="1"/>
      <w:numFmt w:val="decimal"/>
      <w:pStyle w:val="Condition2"/>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tabs>
          <w:tab w:val="num" w:pos="1134"/>
        </w:tabs>
        <w:ind w:left="1701" w:hanging="567"/>
      </w:pPr>
    </w:lvl>
    <w:lvl w:ilvl="3">
      <w:start w:val="1"/>
      <w:numFmt w:val="decimal"/>
      <w:lvlText w:val="(%4)"/>
      <w:lvlJc w:val="left"/>
      <w:pPr>
        <w:ind w:left="2268" w:hanging="567"/>
      </w:pPr>
      <w:rPr>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A301F8"/>
    <w:multiLevelType w:val="hybridMultilevel"/>
    <w:tmpl w:val="81B0A810"/>
    <w:lvl w:ilvl="0" w:tplc="0C090005">
      <w:start w:val="1"/>
      <w:numFmt w:val="bullet"/>
      <w:pStyle w:val="Para5"/>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870ED"/>
    <w:multiLevelType w:val="hybridMultilevel"/>
    <w:tmpl w:val="CB949D76"/>
    <w:lvl w:ilvl="0" w:tplc="5B0EC502">
      <w:start w:val="1"/>
      <w:numFmt w:val="bullet"/>
      <w:pStyle w:val="Letter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474812"/>
    <w:multiLevelType w:val="multilevel"/>
    <w:tmpl w:val="5FC697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D7864F7"/>
    <w:multiLevelType w:val="hybridMultilevel"/>
    <w:tmpl w:val="4DD8D500"/>
    <w:lvl w:ilvl="0" w:tplc="0C090001">
      <w:numFmt w:val="bullet"/>
      <w:pStyle w:val="Quote3"/>
      <w:lvlText w:val=""/>
      <w:lvlJc w:val="left"/>
      <w:pPr>
        <w:tabs>
          <w:tab w:val="num" w:pos="1701"/>
        </w:tabs>
        <w:ind w:left="1701" w:hanging="567"/>
      </w:pPr>
      <w:rPr>
        <w:rFonts w:ascii="Symbol" w:eastAsia="Times New Roman" w:hAnsi="Symbol" w:cs="Times New Roman"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OApBzZSaOb14wKoCVUUA2L0iYvOU/OJnGXqHPyNkehHoMABOsaNTnEnqVjJRwIi3IYDx9YikVkZQ5mXUSWgBg==" w:salt="H0YEj6PGQyxAAdpG/v0bxw=="/>
  <w:defaultTabStop w:val="284"/>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210E32"/>
    <w:rsid w:val="00004CB5"/>
    <w:rsid w:val="0001510A"/>
    <w:rsid w:val="000268A4"/>
    <w:rsid w:val="000305E7"/>
    <w:rsid w:val="0003090D"/>
    <w:rsid w:val="000326F1"/>
    <w:rsid w:val="00036F58"/>
    <w:rsid w:val="0003785F"/>
    <w:rsid w:val="00043766"/>
    <w:rsid w:val="00044813"/>
    <w:rsid w:val="0005115B"/>
    <w:rsid w:val="000520D0"/>
    <w:rsid w:val="00054199"/>
    <w:rsid w:val="0007292B"/>
    <w:rsid w:val="00084585"/>
    <w:rsid w:val="00084AB4"/>
    <w:rsid w:val="000855FB"/>
    <w:rsid w:val="00095320"/>
    <w:rsid w:val="000B3F66"/>
    <w:rsid w:val="000D0841"/>
    <w:rsid w:val="000D53B2"/>
    <w:rsid w:val="000F5D3E"/>
    <w:rsid w:val="0010684F"/>
    <w:rsid w:val="0013062E"/>
    <w:rsid w:val="00136D56"/>
    <w:rsid w:val="001445BF"/>
    <w:rsid w:val="00156C1A"/>
    <w:rsid w:val="00180F10"/>
    <w:rsid w:val="001833E6"/>
    <w:rsid w:val="00192EE5"/>
    <w:rsid w:val="00193172"/>
    <w:rsid w:val="0019532A"/>
    <w:rsid w:val="001B18C2"/>
    <w:rsid w:val="001B48F8"/>
    <w:rsid w:val="001B53D1"/>
    <w:rsid w:val="001B7DF3"/>
    <w:rsid w:val="001C107D"/>
    <w:rsid w:val="001C233A"/>
    <w:rsid w:val="001C4FFE"/>
    <w:rsid w:val="001D6684"/>
    <w:rsid w:val="001F3499"/>
    <w:rsid w:val="001F3CB7"/>
    <w:rsid w:val="00204E64"/>
    <w:rsid w:val="00210E32"/>
    <w:rsid w:val="0021327C"/>
    <w:rsid w:val="002328EF"/>
    <w:rsid w:val="0023463E"/>
    <w:rsid w:val="002362D8"/>
    <w:rsid w:val="002424D3"/>
    <w:rsid w:val="00243E18"/>
    <w:rsid w:val="002471D9"/>
    <w:rsid w:val="00256410"/>
    <w:rsid w:val="002777E0"/>
    <w:rsid w:val="00283EBC"/>
    <w:rsid w:val="002A6D22"/>
    <w:rsid w:val="002B6409"/>
    <w:rsid w:val="002C2A21"/>
    <w:rsid w:val="002C55E7"/>
    <w:rsid w:val="002E2113"/>
    <w:rsid w:val="00304350"/>
    <w:rsid w:val="00314E97"/>
    <w:rsid w:val="00337BD4"/>
    <w:rsid w:val="003457B7"/>
    <w:rsid w:val="00352A53"/>
    <w:rsid w:val="00356970"/>
    <w:rsid w:val="00386AD5"/>
    <w:rsid w:val="00393850"/>
    <w:rsid w:val="00394F81"/>
    <w:rsid w:val="00397DD1"/>
    <w:rsid w:val="003B0F36"/>
    <w:rsid w:val="003B79F3"/>
    <w:rsid w:val="003C0E01"/>
    <w:rsid w:val="003C73C8"/>
    <w:rsid w:val="003D4129"/>
    <w:rsid w:val="003E0CCD"/>
    <w:rsid w:val="003F3016"/>
    <w:rsid w:val="003F317C"/>
    <w:rsid w:val="003F4F49"/>
    <w:rsid w:val="003F5943"/>
    <w:rsid w:val="00420B93"/>
    <w:rsid w:val="00422005"/>
    <w:rsid w:val="00422817"/>
    <w:rsid w:val="004438DA"/>
    <w:rsid w:val="00445E08"/>
    <w:rsid w:val="00473FE2"/>
    <w:rsid w:val="00496B55"/>
    <w:rsid w:val="004B00D6"/>
    <w:rsid w:val="004B7CB3"/>
    <w:rsid w:val="004C4EF9"/>
    <w:rsid w:val="004F2F3C"/>
    <w:rsid w:val="00502134"/>
    <w:rsid w:val="00504299"/>
    <w:rsid w:val="00506B85"/>
    <w:rsid w:val="00511D34"/>
    <w:rsid w:val="005535CD"/>
    <w:rsid w:val="00565FBC"/>
    <w:rsid w:val="00595AB3"/>
    <w:rsid w:val="00595D39"/>
    <w:rsid w:val="005C18B7"/>
    <w:rsid w:val="005C1BE3"/>
    <w:rsid w:val="005D2E29"/>
    <w:rsid w:val="005D6AD7"/>
    <w:rsid w:val="005E0F4C"/>
    <w:rsid w:val="0060307C"/>
    <w:rsid w:val="0062178A"/>
    <w:rsid w:val="00623AC3"/>
    <w:rsid w:val="00623C19"/>
    <w:rsid w:val="006337ED"/>
    <w:rsid w:val="00641219"/>
    <w:rsid w:val="006420FB"/>
    <w:rsid w:val="00645ED2"/>
    <w:rsid w:val="006546C6"/>
    <w:rsid w:val="00661949"/>
    <w:rsid w:val="00667263"/>
    <w:rsid w:val="00682E9C"/>
    <w:rsid w:val="006D46CF"/>
    <w:rsid w:val="00701DFE"/>
    <w:rsid w:val="0070692A"/>
    <w:rsid w:val="007146E6"/>
    <w:rsid w:val="0071474C"/>
    <w:rsid w:val="0072580F"/>
    <w:rsid w:val="0072611D"/>
    <w:rsid w:val="0073505D"/>
    <w:rsid w:val="00745FBF"/>
    <w:rsid w:val="00756FAA"/>
    <w:rsid w:val="00782690"/>
    <w:rsid w:val="0079413E"/>
    <w:rsid w:val="007B040F"/>
    <w:rsid w:val="007D5F66"/>
    <w:rsid w:val="007E42C8"/>
    <w:rsid w:val="007E5CEC"/>
    <w:rsid w:val="007F40E9"/>
    <w:rsid w:val="00813098"/>
    <w:rsid w:val="008159AE"/>
    <w:rsid w:val="00817B8A"/>
    <w:rsid w:val="008276E7"/>
    <w:rsid w:val="00830777"/>
    <w:rsid w:val="00830954"/>
    <w:rsid w:val="008315DC"/>
    <w:rsid w:val="00832D84"/>
    <w:rsid w:val="0083503D"/>
    <w:rsid w:val="00835405"/>
    <w:rsid w:val="00843D78"/>
    <w:rsid w:val="00860839"/>
    <w:rsid w:val="008731A1"/>
    <w:rsid w:val="00873DF7"/>
    <w:rsid w:val="00874C18"/>
    <w:rsid w:val="00875616"/>
    <w:rsid w:val="00880809"/>
    <w:rsid w:val="00893E27"/>
    <w:rsid w:val="008B5208"/>
    <w:rsid w:val="008C69F8"/>
    <w:rsid w:val="008D1061"/>
    <w:rsid w:val="008D16EF"/>
    <w:rsid w:val="008D5E03"/>
    <w:rsid w:val="008E5DD5"/>
    <w:rsid w:val="008F18C1"/>
    <w:rsid w:val="0092047D"/>
    <w:rsid w:val="0092790E"/>
    <w:rsid w:val="00932099"/>
    <w:rsid w:val="00935B24"/>
    <w:rsid w:val="009425DF"/>
    <w:rsid w:val="009A1F40"/>
    <w:rsid w:val="009B28FF"/>
    <w:rsid w:val="009B40E1"/>
    <w:rsid w:val="009C45DA"/>
    <w:rsid w:val="009E5787"/>
    <w:rsid w:val="00A17E2A"/>
    <w:rsid w:val="00A21EBA"/>
    <w:rsid w:val="00A45062"/>
    <w:rsid w:val="00A45AD3"/>
    <w:rsid w:val="00A50D86"/>
    <w:rsid w:val="00A510CA"/>
    <w:rsid w:val="00A80207"/>
    <w:rsid w:val="00A81FB0"/>
    <w:rsid w:val="00A90032"/>
    <w:rsid w:val="00A9115A"/>
    <w:rsid w:val="00A914FC"/>
    <w:rsid w:val="00AA0311"/>
    <w:rsid w:val="00AB1625"/>
    <w:rsid w:val="00AB4004"/>
    <w:rsid w:val="00AD430F"/>
    <w:rsid w:val="00AD6A89"/>
    <w:rsid w:val="00AE0F4A"/>
    <w:rsid w:val="00AE71AD"/>
    <w:rsid w:val="00AF1D3E"/>
    <w:rsid w:val="00AF203F"/>
    <w:rsid w:val="00AF25C9"/>
    <w:rsid w:val="00B011AC"/>
    <w:rsid w:val="00B10828"/>
    <w:rsid w:val="00B13403"/>
    <w:rsid w:val="00B44E80"/>
    <w:rsid w:val="00B56639"/>
    <w:rsid w:val="00B64D57"/>
    <w:rsid w:val="00B72AB9"/>
    <w:rsid w:val="00BD6E47"/>
    <w:rsid w:val="00BF12C7"/>
    <w:rsid w:val="00BF4B32"/>
    <w:rsid w:val="00BF7A69"/>
    <w:rsid w:val="00C02828"/>
    <w:rsid w:val="00C03086"/>
    <w:rsid w:val="00C124AD"/>
    <w:rsid w:val="00C15AC5"/>
    <w:rsid w:val="00C2148E"/>
    <w:rsid w:val="00C37E36"/>
    <w:rsid w:val="00C41845"/>
    <w:rsid w:val="00C44AE2"/>
    <w:rsid w:val="00C6096A"/>
    <w:rsid w:val="00C6415B"/>
    <w:rsid w:val="00C83FCE"/>
    <w:rsid w:val="00CA1AA3"/>
    <w:rsid w:val="00CA3691"/>
    <w:rsid w:val="00CA761E"/>
    <w:rsid w:val="00CB0194"/>
    <w:rsid w:val="00CB6B1E"/>
    <w:rsid w:val="00CB72B8"/>
    <w:rsid w:val="00CC2A17"/>
    <w:rsid w:val="00CC5F5E"/>
    <w:rsid w:val="00CE20A4"/>
    <w:rsid w:val="00CF573F"/>
    <w:rsid w:val="00D03814"/>
    <w:rsid w:val="00D048AC"/>
    <w:rsid w:val="00D1534A"/>
    <w:rsid w:val="00D166E8"/>
    <w:rsid w:val="00D22BEE"/>
    <w:rsid w:val="00D50A36"/>
    <w:rsid w:val="00D83E20"/>
    <w:rsid w:val="00D86367"/>
    <w:rsid w:val="00DA090D"/>
    <w:rsid w:val="00DA5604"/>
    <w:rsid w:val="00DA7C98"/>
    <w:rsid w:val="00DD12F9"/>
    <w:rsid w:val="00DF219B"/>
    <w:rsid w:val="00E01E93"/>
    <w:rsid w:val="00E02FAC"/>
    <w:rsid w:val="00E07F72"/>
    <w:rsid w:val="00E22D94"/>
    <w:rsid w:val="00E238AD"/>
    <w:rsid w:val="00E23E94"/>
    <w:rsid w:val="00E300F6"/>
    <w:rsid w:val="00E330AC"/>
    <w:rsid w:val="00E51282"/>
    <w:rsid w:val="00E67D64"/>
    <w:rsid w:val="00E77CA2"/>
    <w:rsid w:val="00E81950"/>
    <w:rsid w:val="00E92601"/>
    <w:rsid w:val="00EA2073"/>
    <w:rsid w:val="00ED1E3C"/>
    <w:rsid w:val="00ED2084"/>
    <w:rsid w:val="00EE3A58"/>
    <w:rsid w:val="00EF2CF9"/>
    <w:rsid w:val="00EF5F52"/>
    <w:rsid w:val="00EF79B4"/>
    <w:rsid w:val="00EF7DF9"/>
    <w:rsid w:val="00F11732"/>
    <w:rsid w:val="00F17CDE"/>
    <w:rsid w:val="00F3061D"/>
    <w:rsid w:val="00F346DE"/>
    <w:rsid w:val="00F35B2D"/>
    <w:rsid w:val="00F45051"/>
    <w:rsid w:val="00F45608"/>
    <w:rsid w:val="00F45B65"/>
    <w:rsid w:val="00F502F0"/>
    <w:rsid w:val="00F52D41"/>
    <w:rsid w:val="00F67DC3"/>
    <w:rsid w:val="00F77337"/>
    <w:rsid w:val="00F956C2"/>
    <w:rsid w:val="00F96DEE"/>
    <w:rsid w:val="00FC2F79"/>
    <w:rsid w:val="00FC48E5"/>
    <w:rsid w:val="00FC64C1"/>
    <w:rsid w:val="00FC6F4A"/>
    <w:rsid w:val="00FC71EF"/>
    <w:rsid w:val="00FC7874"/>
    <w:rsid w:val="00FE20CA"/>
    <w:rsid w:val="00FE26F2"/>
    <w:rsid w:val="00FE2727"/>
    <w:rsid w:val="00FE3CDA"/>
    <w:rsid w:val="00FF3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531B35"/>
  <w15:chartTrackingRefBased/>
  <w15:docId w15:val="{F80572B7-133A-4E77-AF35-5E8ED3BE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608"/>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qFormat/>
    <w:rsid w:val="003F4F49"/>
    <w:pPr>
      <w:numPr>
        <w:numId w:val="10"/>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pPr>
      <w:spacing w:after="120"/>
      <w:ind w:left="1134" w:right="567"/>
    </w:pPr>
    <w:rPr>
      <w:sz w:val="24"/>
      <w:szCs w:val="24"/>
    </w:rPr>
  </w:style>
  <w:style w:type="paragraph" w:customStyle="1" w:styleId="Quote2">
    <w:name w:val="Quote 2"/>
    <w:basedOn w:val="Quote1"/>
    <w:link w:val="Quote2Char"/>
    <w:pPr>
      <w:ind w:left="1701" w:hanging="567"/>
    </w:pPr>
  </w:style>
  <w:style w:type="paragraph" w:customStyle="1" w:styleId="Para5">
    <w:name w:val="Para 5"/>
    <w:basedOn w:val="Para2"/>
    <w:qFormat/>
    <w:pPr>
      <w:numPr>
        <w:numId w:val="4"/>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qFormat/>
    <w:pPr>
      <w:spacing w:after="120"/>
    </w:pPr>
  </w:style>
  <w:style w:type="paragraph" w:customStyle="1" w:styleId="Order2">
    <w:name w:val="Order 2"/>
    <w:basedOn w:val="Order1"/>
    <w:link w:val="Order2Char"/>
    <w:qFormat/>
    <w:pPr>
      <w:numPr>
        <w:numId w:val="2"/>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3"/>
      </w:numPr>
    </w:pPr>
  </w:style>
  <w:style w:type="paragraph" w:styleId="BalloonText">
    <w:name w:val="Balloon Text"/>
    <w:basedOn w:val="Normal"/>
    <w:semiHidden/>
    <w:rsid w:val="00036F58"/>
    <w:rPr>
      <w:rFonts w:ascii="Tahoma" w:hAnsi="Tahoma" w:cs="Tahoma"/>
      <w:sz w:val="16"/>
      <w:szCs w:val="16"/>
    </w:rPr>
  </w:style>
  <w:style w:type="paragraph" w:customStyle="1" w:styleId="Quote3">
    <w:name w:val="Quote 3"/>
    <w:basedOn w:val="Quote2"/>
    <w:pPr>
      <w:numPr>
        <w:numId w:val="5"/>
      </w:numPr>
    </w:pPr>
  </w:style>
  <w:style w:type="paragraph" w:customStyle="1" w:styleId="TitlePage3">
    <w:name w:val="Title Page 3"/>
    <w:basedOn w:val="TitlePage2"/>
    <w:pPr>
      <w:spacing w:before="20" w:after="0"/>
      <w:jc w:val="right"/>
    </w:pPr>
    <w:rPr>
      <w:b w:val="0"/>
      <w:sz w:val="16"/>
    </w:rPr>
  </w:style>
  <w:style w:type="character" w:customStyle="1" w:styleId="Para1CharChar">
    <w:name w:val="Para 1 Char Char"/>
    <w:link w:val="Para1"/>
    <w:rsid w:val="003F4F49"/>
    <w:rPr>
      <w:sz w:val="26"/>
      <w:szCs w:val="26"/>
      <w:lang w:eastAsia="en-US"/>
    </w:rPr>
  </w:style>
  <w:style w:type="character" w:customStyle="1" w:styleId="Quote2Char">
    <w:name w:val="Quote 2 Char"/>
    <w:link w:val="Quote2"/>
    <w:rsid w:val="00F45051"/>
    <w:rPr>
      <w:sz w:val="24"/>
      <w:szCs w:val="24"/>
      <w:lang w:val="en-AU" w:eastAsia="en-US" w:bidi="ar-SA"/>
    </w:rPr>
  </w:style>
  <w:style w:type="character" w:customStyle="1" w:styleId="Heading2Char">
    <w:name w:val="Heading 2 Char"/>
    <w:link w:val="Heading2"/>
    <w:rsid w:val="00F45051"/>
    <w:rPr>
      <w:rFonts w:ascii="Arial" w:hAnsi="Arial"/>
      <w:b/>
      <w:iCs/>
      <w:caps/>
      <w:sz w:val="24"/>
      <w:szCs w:val="24"/>
      <w:lang w:val="en-AU" w:eastAsia="en-US" w:bidi="ar-SA"/>
    </w:rPr>
  </w:style>
  <w:style w:type="character" w:customStyle="1" w:styleId="Order2Char">
    <w:name w:val="Order 2 Char"/>
    <w:link w:val="Order2"/>
    <w:rsid w:val="00F45051"/>
    <w:rPr>
      <w:sz w:val="26"/>
      <w:szCs w:val="26"/>
      <w:lang w:eastAsia="en-US"/>
    </w:rPr>
  </w:style>
  <w:style w:type="table" w:styleId="TableGrid">
    <w:name w:val="Table Grid"/>
    <w:basedOn w:val="TableNormal"/>
    <w:rsid w:val="00F4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45051"/>
    <w:rPr>
      <w:rFonts w:ascii="Arial" w:hAnsi="Arial"/>
      <w:b/>
      <w:bCs/>
      <w:caps/>
      <w:sz w:val="24"/>
      <w:szCs w:val="24"/>
      <w:lang w:val="en-AU" w:eastAsia="en-US" w:bidi="ar-SA"/>
    </w:rPr>
  </w:style>
  <w:style w:type="paragraph" w:styleId="ListParagraph">
    <w:name w:val="List Paragraph"/>
    <w:basedOn w:val="Normal"/>
    <w:uiPriority w:val="34"/>
    <w:qFormat/>
    <w:rsid w:val="002424D3"/>
    <w:pPr>
      <w:ind w:left="720"/>
      <w:contextualSpacing/>
    </w:pPr>
  </w:style>
  <w:style w:type="character" w:customStyle="1" w:styleId="Heading3Char">
    <w:name w:val="Heading 3 Char"/>
    <w:basedOn w:val="DefaultParagraphFont"/>
    <w:link w:val="Heading3"/>
    <w:rsid w:val="000855FB"/>
    <w:rPr>
      <w:rFonts w:ascii="Arial" w:hAnsi="Arial"/>
      <w:b/>
      <w:bCs/>
      <w:iCs/>
      <w:sz w:val="24"/>
      <w:szCs w:val="24"/>
      <w:lang w:eastAsia="en-US"/>
    </w:rPr>
  </w:style>
  <w:style w:type="character" w:customStyle="1" w:styleId="FootnoteTextChar">
    <w:name w:val="Footnote Text Char"/>
    <w:basedOn w:val="DefaultParagraphFont"/>
    <w:link w:val="FootnoteText"/>
    <w:semiHidden/>
    <w:rsid w:val="00136D56"/>
    <w:rPr>
      <w:lang w:eastAsia="en-US"/>
    </w:rPr>
  </w:style>
  <w:style w:type="paragraph" w:customStyle="1" w:styleId="Condition2">
    <w:name w:val="Condition 2"/>
    <w:basedOn w:val="Normal"/>
    <w:qFormat/>
    <w:rsid w:val="00641219"/>
    <w:pPr>
      <w:numPr>
        <w:numId w:val="7"/>
      </w:numPr>
      <w:spacing w:after="120" w:line="300" w:lineRule="atLeast"/>
    </w:pPr>
  </w:style>
  <w:style w:type="paragraph" w:customStyle="1" w:styleId="other">
    <w:name w:val="other"/>
    <w:basedOn w:val="Normal"/>
    <w:rsid w:val="00004CB5"/>
    <w:rPr>
      <w:sz w:val="24"/>
      <w:szCs w:val="20"/>
    </w:rPr>
  </w:style>
  <w:style w:type="paragraph" w:styleId="BodyText">
    <w:name w:val="Body Text"/>
    <w:basedOn w:val="Normal"/>
    <w:link w:val="BodyTextChar"/>
    <w:unhideWhenUsed/>
    <w:rsid w:val="0062178A"/>
    <w:rPr>
      <w:sz w:val="24"/>
      <w:szCs w:val="20"/>
    </w:rPr>
  </w:style>
  <w:style w:type="character" w:customStyle="1" w:styleId="BodyTextChar">
    <w:name w:val="Body Text Char"/>
    <w:basedOn w:val="DefaultParagraphFont"/>
    <w:link w:val="BodyText"/>
    <w:rsid w:val="0062178A"/>
    <w:rPr>
      <w:sz w:val="24"/>
      <w:lang w:eastAsia="en-US"/>
    </w:rPr>
  </w:style>
  <w:style w:type="paragraph" w:styleId="BodyTextIndent3">
    <w:name w:val="Body Text Indent 3"/>
    <w:basedOn w:val="Normal"/>
    <w:link w:val="BodyTextIndent3Char"/>
    <w:uiPriority w:val="99"/>
    <w:unhideWhenUsed/>
    <w:rsid w:val="0062178A"/>
    <w:pPr>
      <w:spacing w:after="120"/>
      <w:ind w:left="283"/>
    </w:pPr>
    <w:rPr>
      <w:sz w:val="16"/>
      <w:szCs w:val="16"/>
    </w:rPr>
  </w:style>
  <w:style w:type="character" w:customStyle="1" w:styleId="BodyTextIndent3Char">
    <w:name w:val="Body Text Indent 3 Char"/>
    <w:basedOn w:val="DefaultParagraphFont"/>
    <w:link w:val="BodyTextIndent3"/>
    <w:uiPriority w:val="99"/>
    <w:rsid w:val="0062178A"/>
    <w:rPr>
      <w:sz w:val="16"/>
      <w:szCs w:val="16"/>
      <w:lang w:eastAsia="en-US"/>
    </w:rPr>
  </w:style>
  <w:style w:type="paragraph" w:customStyle="1" w:styleId="LetterParagraph">
    <w:name w:val="LetterParagraph"/>
    <w:basedOn w:val="Normal"/>
    <w:autoRedefine/>
    <w:qFormat/>
    <w:rsid w:val="0062178A"/>
    <w:pPr>
      <w:numPr>
        <w:numId w:val="8"/>
      </w:numPr>
      <w:tabs>
        <w:tab w:val="left" w:pos="1134"/>
        <w:tab w:val="left" w:pos="1701"/>
        <w:tab w:val="left" w:pos="2268"/>
        <w:tab w:val="left" w:pos="2835"/>
        <w:tab w:val="left" w:pos="3402"/>
        <w:tab w:val="left" w:pos="3969"/>
        <w:tab w:val="left" w:pos="4536"/>
      </w:tabs>
      <w:spacing w:after="240"/>
      <w:ind w:left="1134" w:right="1134" w:hanging="567"/>
      <w:jc w:val="both"/>
    </w:pPr>
    <w:rPr>
      <w:rFonts w:ascii="Calibri" w:hAnsi="Calibri"/>
      <w:noProof/>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4993">
      <w:bodyDiv w:val="1"/>
      <w:marLeft w:val="0"/>
      <w:marRight w:val="0"/>
      <w:marTop w:val="0"/>
      <w:marBottom w:val="0"/>
      <w:divBdr>
        <w:top w:val="none" w:sz="0" w:space="0" w:color="auto"/>
        <w:left w:val="none" w:sz="0" w:space="0" w:color="auto"/>
        <w:bottom w:val="none" w:sz="0" w:space="0" w:color="auto"/>
        <w:right w:val="none" w:sz="0" w:space="0" w:color="auto"/>
      </w:divBdr>
    </w:div>
    <w:div w:id="512963306">
      <w:bodyDiv w:val="1"/>
      <w:marLeft w:val="0"/>
      <w:marRight w:val="0"/>
      <w:marTop w:val="0"/>
      <w:marBottom w:val="0"/>
      <w:divBdr>
        <w:top w:val="none" w:sz="0" w:space="0" w:color="auto"/>
        <w:left w:val="none" w:sz="0" w:space="0" w:color="auto"/>
        <w:bottom w:val="none" w:sz="0" w:space="0" w:color="auto"/>
        <w:right w:val="none" w:sz="0" w:space="0" w:color="auto"/>
      </w:divBdr>
    </w:div>
    <w:div w:id="699432614">
      <w:bodyDiv w:val="1"/>
      <w:marLeft w:val="0"/>
      <w:marRight w:val="0"/>
      <w:marTop w:val="0"/>
      <w:marBottom w:val="0"/>
      <w:divBdr>
        <w:top w:val="none" w:sz="0" w:space="0" w:color="auto"/>
        <w:left w:val="none" w:sz="0" w:space="0" w:color="auto"/>
        <w:bottom w:val="none" w:sz="0" w:space="0" w:color="auto"/>
        <w:right w:val="none" w:sz="0" w:space="0" w:color="auto"/>
      </w:divBdr>
    </w:div>
    <w:div w:id="803158918">
      <w:bodyDiv w:val="1"/>
      <w:marLeft w:val="0"/>
      <w:marRight w:val="0"/>
      <w:marTop w:val="0"/>
      <w:marBottom w:val="0"/>
      <w:divBdr>
        <w:top w:val="none" w:sz="0" w:space="0" w:color="auto"/>
        <w:left w:val="none" w:sz="0" w:space="0" w:color="auto"/>
        <w:bottom w:val="none" w:sz="0" w:space="0" w:color="auto"/>
        <w:right w:val="none" w:sz="0" w:space="0" w:color="auto"/>
      </w:divBdr>
    </w:div>
    <w:div w:id="930508399">
      <w:bodyDiv w:val="1"/>
      <w:marLeft w:val="0"/>
      <w:marRight w:val="0"/>
      <w:marTop w:val="0"/>
      <w:marBottom w:val="0"/>
      <w:divBdr>
        <w:top w:val="none" w:sz="0" w:space="0" w:color="auto"/>
        <w:left w:val="none" w:sz="0" w:space="0" w:color="auto"/>
        <w:bottom w:val="none" w:sz="0" w:space="0" w:color="auto"/>
        <w:right w:val="none" w:sz="0" w:space="0" w:color="auto"/>
      </w:divBdr>
    </w:div>
    <w:div w:id="1191335945">
      <w:bodyDiv w:val="1"/>
      <w:marLeft w:val="0"/>
      <w:marRight w:val="0"/>
      <w:marTop w:val="0"/>
      <w:marBottom w:val="0"/>
      <w:divBdr>
        <w:top w:val="none" w:sz="0" w:space="0" w:color="auto"/>
        <w:left w:val="none" w:sz="0" w:space="0" w:color="auto"/>
        <w:bottom w:val="none" w:sz="0" w:space="0" w:color="auto"/>
        <w:right w:val="none" w:sz="0" w:space="0" w:color="auto"/>
      </w:divBdr>
    </w:div>
    <w:div w:id="1209993322">
      <w:bodyDiv w:val="1"/>
      <w:marLeft w:val="0"/>
      <w:marRight w:val="0"/>
      <w:marTop w:val="0"/>
      <w:marBottom w:val="0"/>
      <w:divBdr>
        <w:top w:val="none" w:sz="0" w:space="0" w:color="auto"/>
        <w:left w:val="none" w:sz="0" w:space="0" w:color="auto"/>
        <w:bottom w:val="none" w:sz="0" w:space="0" w:color="auto"/>
        <w:right w:val="none" w:sz="0" w:space="0" w:color="auto"/>
      </w:divBdr>
    </w:div>
    <w:div w:id="1428430881">
      <w:bodyDiv w:val="1"/>
      <w:marLeft w:val="0"/>
      <w:marRight w:val="0"/>
      <w:marTop w:val="0"/>
      <w:marBottom w:val="0"/>
      <w:divBdr>
        <w:top w:val="none" w:sz="0" w:space="0" w:color="auto"/>
        <w:left w:val="none" w:sz="0" w:space="0" w:color="auto"/>
        <w:bottom w:val="none" w:sz="0" w:space="0" w:color="auto"/>
        <w:right w:val="none" w:sz="0" w:space="0" w:color="auto"/>
      </w:divBdr>
    </w:div>
    <w:div w:id="1465541040">
      <w:bodyDiv w:val="1"/>
      <w:marLeft w:val="0"/>
      <w:marRight w:val="0"/>
      <w:marTop w:val="0"/>
      <w:marBottom w:val="0"/>
      <w:divBdr>
        <w:top w:val="none" w:sz="0" w:space="0" w:color="auto"/>
        <w:left w:val="none" w:sz="0" w:space="0" w:color="auto"/>
        <w:bottom w:val="none" w:sz="0" w:space="0" w:color="auto"/>
        <w:right w:val="none" w:sz="0" w:space="0" w:color="auto"/>
      </w:divBdr>
    </w:div>
    <w:div w:id="1674603481">
      <w:bodyDiv w:val="1"/>
      <w:marLeft w:val="0"/>
      <w:marRight w:val="0"/>
      <w:marTop w:val="0"/>
      <w:marBottom w:val="0"/>
      <w:divBdr>
        <w:top w:val="none" w:sz="0" w:space="0" w:color="auto"/>
        <w:left w:val="none" w:sz="0" w:space="0" w:color="auto"/>
        <w:bottom w:val="none" w:sz="0" w:space="0" w:color="auto"/>
        <w:right w:val="none" w:sz="0" w:space="0" w:color="auto"/>
      </w:divBdr>
    </w:div>
    <w:div w:id="1769306529">
      <w:bodyDiv w:val="1"/>
      <w:marLeft w:val="0"/>
      <w:marRight w:val="0"/>
      <w:marTop w:val="0"/>
      <w:marBottom w:val="0"/>
      <w:divBdr>
        <w:top w:val="none" w:sz="0" w:space="0" w:color="auto"/>
        <w:left w:val="none" w:sz="0" w:space="0" w:color="auto"/>
        <w:bottom w:val="none" w:sz="0" w:space="0" w:color="auto"/>
        <w:right w:val="none" w:sz="0" w:space="0" w:color="auto"/>
      </w:divBdr>
    </w:div>
    <w:div w:id="1791782008">
      <w:bodyDiv w:val="1"/>
      <w:marLeft w:val="0"/>
      <w:marRight w:val="0"/>
      <w:marTop w:val="0"/>
      <w:marBottom w:val="0"/>
      <w:divBdr>
        <w:top w:val="none" w:sz="0" w:space="0" w:color="auto"/>
        <w:left w:val="none" w:sz="0" w:space="0" w:color="auto"/>
        <w:bottom w:val="none" w:sz="0" w:space="0" w:color="auto"/>
        <w:right w:val="none" w:sz="0" w:space="0" w:color="auto"/>
      </w:divBdr>
    </w:div>
    <w:div w:id="19913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48F171516A54B8F1C9DA714DEC8F3" ma:contentTypeVersion="9" ma:contentTypeDescription="Create a new document." ma:contentTypeScope="" ma:versionID="edbdb3ec872802492756c0579503bea6">
  <xsd:schema xmlns:xsd="http://www.w3.org/2001/XMLSchema" xmlns:xs="http://www.w3.org/2001/XMLSchema" xmlns:p="http://schemas.microsoft.com/office/2006/metadata/properties" xmlns:ns3="03254524-6363-4651-8437-294c2f7e21c4" targetNamespace="http://schemas.microsoft.com/office/2006/metadata/properties" ma:root="true" ma:fieldsID="e8ee7674d09ef48449cccdb60bc1208c" ns3:_="">
    <xsd:import namespace="03254524-6363-4651-8437-294c2f7e21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54524-6363-4651-8437-294c2f7e2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FAC1A-8858-451D-8AC0-03D06F61A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54524-6363-4651-8437-294c2f7e2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D8176-B71D-4663-B8DE-3C0FE7B2F165}">
  <ds:schemaRefs>
    <ds:schemaRef ds:uri="http://schemas.microsoft.com/sharepoint/v3/contenttype/forms"/>
  </ds:schemaRefs>
</ds:datastoreItem>
</file>

<file path=customXml/itemProps3.xml><?xml version="1.0" encoding="utf-8"?>
<ds:datastoreItem xmlns:ds="http://schemas.openxmlformats.org/officeDocument/2006/customXml" ds:itemID="{8962A364-DE74-40DE-B234-0C0671076779}">
  <ds:schemaRefs>
    <ds:schemaRef ds:uri="http://schemas.microsoft.com/office/infopath/2007/PartnerControls"/>
    <ds:schemaRef ds:uri="http://purl.org/dc/elements/1.1/"/>
    <ds:schemaRef ds:uri="http://schemas.microsoft.com/office/2006/metadata/properties"/>
    <ds:schemaRef ds:uri="03254524-6363-4651-8437-294c2f7e21c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1875</Words>
  <Characters>10692</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Laurie Hewet (CSV)</dc:creator>
  <cp:keywords/>
  <dc:description/>
  <cp:lastModifiedBy>Pauline Razos (CSV)</cp:lastModifiedBy>
  <cp:revision>2</cp:revision>
  <cp:lastPrinted>2010-11-17T04:59:00Z</cp:lastPrinted>
  <dcterms:created xsi:type="dcterms:W3CDTF">2020-09-28T23:33:00Z</dcterms:created>
  <dcterms:modified xsi:type="dcterms:W3CDTF">2020-09-28T23:33:00Z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0x01010061248F171516A54B8F1C9DA714DEC8F3</vt:lpwstr>
  </property>
</Properties>
</file>