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CBBEF" w14:textId="4CB8D659" w:rsidR="003A39B1" w:rsidRDefault="00B203DC" w:rsidP="001E5F05">
      <w:pPr>
        <w:pStyle w:val="TitlePage1"/>
        <w:ind w:left="142"/>
      </w:pPr>
      <w:bookmarkStart w:id="0" w:name="_GoBack"/>
      <w:bookmarkEnd w:id="0"/>
      <w:r>
        <w:rPr>
          <w:noProof/>
        </w:rPr>
        <w:drawing>
          <wp:anchor distT="0" distB="0" distL="114300" distR="114300" simplePos="0" relativeHeight="251658240" behindDoc="1" locked="0" layoutInCell="1" allowOverlap="1" wp14:anchorId="6A0404A6" wp14:editId="7D5ADF18">
            <wp:simplePos x="0" y="0"/>
            <wp:positionH relativeFrom="column">
              <wp:posOffset>5183505</wp:posOffset>
            </wp:positionH>
            <wp:positionV relativeFrom="paragraph">
              <wp:posOffset>8459470</wp:posOffset>
            </wp:positionV>
            <wp:extent cx="1080000" cy="1080000"/>
            <wp:effectExtent l="0" t="0" r="6350" b="6350"/>
            <wp:wrapNone/>
            <wp:docPr id="14" name="VCAT Seal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A39B1">
        <w:t xml:space="preserve">VICTORIAN CIVIL AND </w:t>
      </w:r>
      <w:r w:rsidR="003A39B1" w:rsidRPr="00A522C6">
        <w:t>ADMINISTRATIVE</w:t>
      </w:r>
      <w:r w:rsidR="003A39B1">
        <w:t xml:space="preserve"> TRIBUNAL</w:t>
      </w:r>
    </w:p>
    <w:p w14:paraId="0DA2C4D3" w14:textId="77777777" w:rsidR="003A39B1" w:rsidRPr="00A522C6" w:rsidRDefault="003A39B1" w:rsidP="001E5F05">
      <w:pPr>
        <w:pStyle w:val="TitlePage2"/>
        <w:ind w:firstLine="142"/>
      </w:pPr>
      <w:r>
        <w:t xml:space="preserve">planning and environment </w:t>
      </w:r>
      <w:r w:rsidRPr="00A522C6">
        <w:t>DIVISION</w:t>
      </w:r>
    </w:p>
    <w:tbl>
      <w:tblPr>
        <w:tblW w:w="5000" w:type="pct"/>
        <w:tblLook w:val="0000" w:firstRow="0" w:lastRow="0" w:firstColumn="0" w:lastColumn="0" w:noHBand="0" w:noVBand="0"/>
      </w:tblPr>
      <w:tblGrid>
        <w:gridCol w:w="4678"/>
        <w:gridCol w:w="3827"/>
      </w:tblGrid>
      <w:tr w:rsidR="003A39B1" w14:paraId="15580D3C" w14:textId="77777777" w:rsidTr="00494EC0">
        <w:trPr>
          <w:cantSplit/>
        </w:trPr>
        <w:tc>
          <w:tcPr>
            <w:tcW w:w="2750" w:type="pct"/>
          </w:tcPr>
          <w:p w14:paraId="38659603" w14:textId="77777777" w:rsidR="003A39B1" w:rsidRDefault="003A39B1" w:rsidP="00494EC0">
            <w:pPr>
              <w:pStyle w:val="TitlePage2"/>
              <w:ind w:left="34"/>
            </w:pPr>
            <w:r>
              <w:t>planning and environment LIST</w:t>
            </w:r>
          </w:p>
        </w:tc>
        <w:tc>
          <w:tcPr>
            <w:tcW w:w="2250" w:type="pct"/>
          </w:tcPr>
          <w:p w14:paraId="2C38D63F" w14:textId="77777777" w:rsidR="003A39B1" w:rsidRDefault="003A39B1" w:rsidP="00494EC0">
            <w:pPr>
              <w:pStyle w:val="TitlePage3"/>
            </w:pPr>
            <w:r>
              <w:t xml:space="preserve">vcat reference No. </w:t>
            </w:r>
            <w:r w:rsidRPr="00EA1C45">
              <w:rPr>
                <w:noProof/>
              </w:rPr>
              <w:t>P311/2020</w:t>
            </w:r>
          </w:p>
          <w:p w14:paraId="1B7FEA9B" w14:textId="77777777" w:rsidR="003A39B1" w:rsidRDefault="003A39B1" w:rsidP="00494EC0">
            <w:pPr>
              <w:pStyle w:val="TitlePage3"/>
            </w:pPr>
            <w:r>
              <w:t xml:space="preserve">Permit Application no. </w:t>
            </w:r>
            <w:r w:rsidRPr="003A39B1">
              <w:t>TPA/47486</w:t>
            </w:r>
          </w:p>
        </w:tc>
      </w:tr>
      <w:tr w:rsidR="003A39B1" w14:paraId="21F6C5B9" w14:textId="77777777" w:rsidTr="00494EC0">
        <w:tblPrEx>
          <w:jc w:val="center"/>
        </w:tblPrEx>
        <w:trPr>
          <w:cantSplit/>
          <w:jc w:val="center"/>
        </w:trPr>
        <w:tc>
          <w:tcPr>
            <w:tcW w:w="5000" w:type="pct"/>
            <w:gridSpan w:val="2"/>
          </w:tcPr>
          <w:p w14:paraId="6E0070DD" w14:textId="77777777" w:rsidR="003A39B1" w:rsidRDefault="003A39B1" w:rsidP="00494EC0">
            <w:pPr>
              <w:pStyle w:val="TitlePage2"/>
              <w:jc w:val="center"/>
            </w:pPr>
            <w:r>
              <w:t>CATCHWORDS</w:t>
            </w:r>
          </w:p>
        </w:tc>
      </w:tr>
      <w:tr w:rsidR="003A39B1" w14:paraId="5129508D" w14:textId="77777777" w:rsidTr="00494EC0">
        <w:tblPrEx>
          <w:jc w:val="center"/>
        </w:tblPrEx>
        <w:trPr>
          <w:cantSplit/>
          <w:jc w:val="center"/>
        </w:trPr>
        <w:tc>
          <w:tcPr>
            <w:tcW w:w="5000" w:type="pct"/>
            <w:gridSpan w:val="2"/>
          </w:tcPr>
          <w:p w14:paraId="130C125E" w14:textId="1BF6C6D0" w:rsidR="003A39B1" w:rsidRDefault="007C51AD" w:rsidP="00494EC0">
            <w:pPr>
              <w:pStyle w:val="Catchwords"/>
            </w:pPr>
            <w:r w:rsidRPr="007C51AD">
              <w:t>Two lot subdivision and</w:t>
            </w:r>
            <w:r>
              <w:t xml:space="preserve"> creation of</w:t>
            </w:r>
            <w:r w:rsidRPr="007C51AD">
              <w:t xml:space="preserve"> two reserves – </w:t>
            </w:r>
            <w:r>
              <w:t xml:space="preserve">refusal to grant a permit – </w:t>
            </w:r>
            <w:r w:rsidR="00214C1E">
              <w:t xml:space="preserve">application </w:t>
            </w:r>
            <w:r>
              <w:t>of the term ‘</w:t>
            </w:r>
            <w:r w:rsidRPr="007C51AD">
              <w:t>generally in accordance with</w:t>
            </w:r>
            <w:r>
              <w:t xml:space="preserve">’ - </w:t>
            </w:r>
            <w:r w:rsidRPr="007C51AD">
              <w:t xml:space="preserve">Development Plan </w:t>
            </w:r>
            <w:r w:rsidR="00627D88" w:rsidRPr="007C51AD">
              <w:t>- secure</w:t>
            </w:r>
            <w:r>
              <w:t xml:space="preserve"> surplus land </w:t>
            </w:r>
            <w:r w:rsidR="003A39B1" w:rsidRPr="007C51AD">
              <w:t xml:space="preserve"> </w:t>
            </w:r>
          </w:p>
        </w:tc>
      </w:tr>
    </w:tbl>
    <w:p w14:paraId="3904181A" w14:textId="77777777" w:rsidR="003A39B1" w:rsidRDefault="003A39B1" w:rsidP="001E5F05"/>
    <w:tbl>
      <w:tblPr>
        <w:tblW w:w="5000" w:type="pct"/>
        <w:tblLook w:val="0000" w:firstRow="0" w:lastRow="0" w:firstColumn="0" w:lastColumn="0" w:noHBand="0" w:noVBand="0"/>
      </w:tblPr>
      <w:tblGrid>
        <w:gridCol w:w="3545"/>
        <w:gridCol w:w="4960"/>
      </w:tblGrid>
      <w:tr w:rsidR="003A39B1" w14:paraId="37F47645" w14:textId="77777777" w:rsidTr="00494EC0">
        <w:tc>
          <w:tcPr>
            <w:tcW w:w="2084" w:type="pct"/>
          </w:tcPr>
          <w:p w14:paraId="6D1D5FFB" w14:textId="77777777" w:rsidR="003A39B1" w:rsidRDefault="003A39B1" w:rsidP="00494EC0">
            <w:pPr>
              <w:pStyle w:val="TitlePage2"/>
            </w:pPr>
            <w:r>
              <w:t>APPLICANT</w:t>
            </w:r>
          </w:p>
        </w:tc>
        <w:tc>
          <w:tcPr>
            <w:tcW w:w="2916" w:type="pct"/>
          </w:tcPr>
          <w:p w14:paraId="1AF8056A" w14:textId="77777777" w:rsidR="003A39B1" w:rsidRDefault="003A39B1" w:rsidP="00494EC0">
            <w:pPr>
              <w:pStyle w:val="TitlePagetext"/>
            </w:pPr>
            <w:r w:rsidRPr="00EA1C45">
              <w:rPr>
                <w:noProof/>
              </w:rPr>
              <w:t>Ryman Healthcare (Australia) Pty Ltd</w:t>
            </w:r>
          </w:p>
        </w:tc>
      </w:tr>
      <w:tr w:rsidR="003A39B1" w14:paraId="30EC07E3" w14:textId="77777777" w:rsidTr="00494EC0">
        <w:tc>
          <w:tcPr>
            <w:tcW w:w="2084" w:type="pct"/>
          </w:tcPr>
          <w:p w14:paraId="386A08D6" w14:textId="77777777" w:rsidR="003A39B1" w:rsidRDefault="003A39B1" w:rsidP="00494EC0">
            <w:pPr>
              <w:pStyle w:val="TitlePage2"/>
            </w:pPr>
            <w:r>
              <w:t>responsible authority</w:t>
            </w:r>
          </w:p>
        </w:tc>
        <w:tc>
          <w:tcPr>
            <w:tcW w:w="2916" w:type="pct"/>
          </w:tcPr>
          <w:p w14:paraId="56E1D66D" w14:textId="77777777" w:rsidR="003A39B1" w:rsidRDefault="003A39B1" w:rsidP="00494EC0">
            <w:pPr>
              <w:pStyle w:val="TitlePagetext"/>
            </w:pPr>
            <w:r w:rsidRPr="00EA1C45">
              <w:rPr>
                <w:noProof/>
              </w:rPr>
              <w:t>Monash City Council</w:t>
            </w:r>
          </w:p>
        </w:tc>
      </w:tr>
      <w:tr w:rsidR="003A39B1" w14:paraId="1BD2F65E" w14:textId="77777777" w:rsidTr="00494EC0">
        <w:tc>
          <w:tcPr>
            <w:tcW w:w="2084" w:type="pct"/>
          </w:tcPr>
          <w:p w14:paraId="69F765B4" w14:textId="77777777" w:rsidR="003A39B1" w:rsidRDefault="003A39B1" w:rsidP="00494EC0">
            <w:pPr>
              <w:pStyle w:val="TitlePage2"/>
            </w:pPr>
            <w:r>
              <w:t>SUBJECT LAND</w:t>
            </w:r>
          </w:p>
        </w:tc>
        <w:tc>
          <w:tcPr>
            <w:tcW w:w="2916" w:type="pct"/>
          </w:tcPr>
          <w:p w14:paraId="5305AD37" w14:textId="77777777" w:rsidR="003A39B1" w:rsidRDefault="003A39B1" w:rsidP="00494EC0">
            <w:pPr>
              <w:pStyle w:val="TitlePagetext"/>
            </w:pPr>
            <w:r w:rsidRPr="00EA1C45">
              <w:rPr>
                <w:noProof/>
              </w:rPr>
              <w:t xml:space="preserve">6-30 Brandon Park Drive </w:t>
            </w:r>
            <w:r>
              <w:rPr>
                <w:noProof/>
              </w:rPr>
              <w:br/>
            </w:r>
            <w:r w:rsidRPr="00EA1C45">
              <w:rPr>
                <w:noProof/>
              </w:rPr>
              <w:t>WHEELERS HILL VIC 3150</w:t>
            </w:r>
          </w:p>
        </w:tc>
      </w:tr>
      <w:tr w:rsidR="003A39B1" w14:paraId="76952EB4" w14:textId="77777777" w:rsidTr="00494EC0">
        <w:tc>
          <w:tcPr>
            <w:tcW w:w="2084" w:type="pct"/>
          </w:tcPr>
          <w:p w14:paraId="07423065" w14:textId="77777777" w:rsidR="003A39B1" w:rsidRDefault="003A39B1" w:rsidP="00494EC0">
            <w:pPr>
              <w:pStyle w:val="TitlePage2"/>
            </w:pPr>
            <w:r>
              <w:t>WHERE HELD</w:t>
            </w:r>
          </w:p>
        </w:tc>
        <w:tc>
          <w:tcPr>
            <w:tcW w:w="2916" w:type="pct"/>
          </w:tcPr>
          <w:p w14:paraId="114747AB" w14:textId="77777777" w:rsidR="003A39B1" w:rsidRDefault="003A39B1" w:rsidP="00494EC0">
            <w:pPr>
              <w:pStyle w:val="TitlePagetext"/>
            </w:pPr>
            <w:r>
              <w:t>Melbourne</w:t>
            </w:r>
          </w:p>
        </w:tc>
      </w:tr>
      <w:tr w:rsidR="003A39B1" w14:paraId="5033980E" w14:textId="77777777" w:rsidTr="00494EC0">
        <w:tc>
          <w:tcPr>
            <w:tcW w:w="2084" w:type="pct"/>
          </w:tcPr>
          <w:p w14:paraId="542DA973" w14:textId="77777777" w:rsidR="003A39B1" w:rsidRDefault="003A39B1" w:rsidP="00494EC0">
            <w:pPr>
              <w:pStyle w:val="TitlePage2"/>
            </w:pPr>
            <w:r>
              <w:t>BEFORE</w:t>
            </w:r>
          </w:p>
        </w:tc>
        <w:tc>
          <w:tcPr>
            <w:tcW w:w="2916" w:type="pct"/>
          </w:tcPr>
          <w:p w14:paraId="76CA7691" w14:textId="77777777" w:rsidR="003A39B1" w:rsidRDefault="003A39B1" w:rsidP="00494EC0">
            <w:pPr>
              <w:pStyle w:val="TitlePagetext"/>
            </w:pPr>
            <w:r>
              <w:t>Dalia Cook, Member</w:t>
            </w:r>
          </w:p>
        </w:tc>
      </w:tr>
      <w:tr w:rsidR="003A39B1" w14:paraId="1FCA8DC4" w14:textId="77777777" w:rsidTr="00494EC0">
        <w:tc>
          <w:tcPr>
            <w:tcW w:w="2084" w:type="pct"/>
          </w:tcPr>
          <w:p w14:paraId="665D22D5" w14:textId="77777777" w:rsidR="003A39B1" w:rsidRDefault="003A39B1" w:rsidP="00494EC0">
            <w:pPr>
              <w:pStyle w:val="TitlePage2"/>
            </w:pPr>
            <w:r>
              <w:t>HEARING TYPE</w:t>
            </w:r>
          </w:p>
        </w:tc>
        <w:tc>
          <w:tcPr>
            <w:tcW w:w="2916" w:type="pct"/>
          </w:tcPr>
          <w:p w14:paraId="1E0E25BD" w14:textId="0CCB06C2" w:rsidR="003A39B1" w:rsidRDefault="003A39B1" w:rsidP="00494EC0">
            <w:pPr>
              <w:pStyle w:val="TitlePagetext"/>
            </w:pPr>
            <w:r w:rsidRPr="00EA1C45">
              <w:rPr>
                <w:noProof/>
              </w:rPr>
              <w:t>Hearing</w:t>
            </w:r>
            <w:r w:rsidR="00C50516">
              <w:rPr>
                <w:noProof/>
              </w:rPr>
              <w:t xml:space="preserve"> </w:t>
            </w:r>
          </w:p>
        </w:tc>
      </w:tr>
      <w:tr w:rsidR="003A39B1" w14:paraId="5C148485" w14:textId="77777777" w:rsidTr="00494EC0">
        <w:tc>
          <w:tcPr>
            <w:tcW w:w="2084" w:type="pct"/>
          </w:tcPr>
          <w:p w14:paraId="38AD6455" w14:textId="77777777" w:rsidR="003A39B1" w:rsidRDefault="003A39B1" w:rsidP="00494EC0">
            <w:pPr>
              <w:pStyle w:val="TitlePage2"/>
            </w:pPr>
            <w:r>
              <w:t>DATE OF HEARING</w:t>
            </w:r>
          </w:p>
        </w:tc>
        <w:tc>
          <w:tcPr>
            <w:tcW w:w="2916" w:type="pct"/>
          </w:tcPr>
          <w:p w14:paraId="6EEED955" w14:textId="77777777" w:rsidR="003A39B1" w:rsidRDefault="003A39B1" w:rsidP="00494EC0">
            <w:pPr>
              <w:pStyle w:val="TitlePagetext"/>
            </w:pPr>
            <w:r w:rsidRPr="00EA1C45">
              <w:rPr>
                <w:noProof/>
              </w:rPr>
              <w:t>17 June 2020</w:t>
            </w:r>
          </w:p>
        </w:tc>
      </w:tr>
      <w:tr w:rsidR="003A39B1" w14:paraId="1F9B9D18" w14:textId="77777777" w:rsidTr="00494EC0">
        <w:tc>
          <w:tcPr>
            <w:tcW w:w="2084" w:type="pct"/>
          </w:tcPr>
          <w:p w14:paraId="1A2CB8DC" w14:textId="77777777" w:rsidR="003A39B1" w:rsidRDefault="003A39B1" w:rsidP="00494EC0">
            <w:pPr>
              <w:pStyle w:val="TitlePage2"/>
            </w:pPr>
            <w:r>
              <w:t>DATE OF ORDER</w:t>
            </w:r>
          </w:p>
        </w:tc>
        <w:tc>
          <w:tcPr>
            <w:tcW w:w="2916" w:type="pct"/>
          </w:tcPr>
          <w:p w14:paraId="40BCA1E5" w14:textId="4E286B45" w:rsidR="003A39B1" w:rsidRDefault="006A4B0C" w:rsidP="00494EC0">
            <w:pPr>
              <w:pStyle w:val="TitlePagetext"/>
            </w:pPr>
            <w:r>
              <w:t xml:space="preserve">1 </w:t>
            </w:r>
            <w:r w:rsidR="00E12394">
              <w:t>July</w:t>
            </w:r>
            <w:r w:rsidR="00C50516">
              <w:t xml:space="preserve"> 2020</w:t>
            </w:r>
          </w:p>
        </w:tc>
      </w:tr>
      <w:tr w:rsidR="003A39B1" w14:paraId="0C900628" w14:textId="77777777" w:rsidTr="00494EC0">
        <w:tc>
          <w:tcPr>
            <w:tcW w:w="2084" w:type="pct"/>
          </w:tcPr>
          <w:p w14:paraId="2FE65F76" w14:textId="77777777" w:rsidR="003A39B1" w:rsidRDefault="003A39B1" w:rsidP="00494EC0">
            <w:pPr>
              <w:pStyle w:val="TitlePage2"/>
            </w:pPr>
            <w:r>
              <w:t>CITATION</w:t>
            </w:r>
          </w:p>
        </w:tc>
        <w:tc>
          <w:tcPr>
            <w:tcW w:w="2916" w:type="pct"/>
          </w:tcPr>
          <w:p w14:paraId="33E8FF1F" w14:textId="24D5D98F" w:rsidR="003A39B1" w:rsidRDefault="00A61DC3" w:rsidP="00494EC0">
            <w:pPr>
              <w:pStyle w:val="TitlePagetext"/>
            </w:pPr>
            <w:r w:rsidRPr="00A61DC3">
              <w:t>Ryman Healthcare (Australia) Pty Ltd v Monash CC [2020] VCAT</w:t>
            </w:r>
            <w:r w:rsidR="00172515">
              <w:t xml:space="preserve"> 701</w:t>
            </w:r>
          </w:p>
        </w:tc>
      </w:tr>
    </w:tbl>
    <w:p w14:paraId="0C48E15C" w14:textId="77777777" w:rsidR="003A39B1" w:rsidRDefault="003A39B1" w:rsidP="001E5F05"/>
    <w:p w14:paraId="62FA3C12" w14:textId="77777777" w:rsidR="003A39B1" w:rsidRDefault="003A39B1" w:rsidP="001E5F05">
      <w:pPr>
        <w:pStyle w:val="Heading1"/>
      </w:pPr>
      <w:r>
        <w:t>Order</w:t>
      </w:r>
    </w:p>
    <w:p w14:paraId="34DF5A7A" w14:textId="77777777" w:rsidR="003A39B1" w:rsidRDefault="003A39B1" w:rsidP="001E5F05">
      <w:pPr>
        <w:pStyle w:val="Order1"/>
      </w:pPr>
    </w:p>
    <w:p w14:paraId="73CFF1D5" w14:textId="249A4B0A" w:rsidR="00B427B6" w:rsidRPr="00C255A5" w:rsidRDefault="00B427B6" w:rsidP="00494EC0">
      <w:pPr>
        <w:pStyle w:val="Order2"/>
      </w:pPr>
      <w:r w:rsidRPr="00C255A5">
        <w:t>In application P331/2020 the decision of the Responsible Authority is set aside.</w:t>
      </w:r>
    </w:p>
    <w:p w14:paraId="4E3D7721" w14:textId="3A2010C6" w:rsidR="00B427B6" w:rsidRPr="00C255A5" w:rsidRDefault="00B427B6" w:rsidP="00494EC0">
      <w:pPr>
        <w:pStyle w:val="Order2"/>
      </w:pPr>
      <w:r w:rsidRPr="00C255A5">
        <w:t xml:space="preserve">In planning permit application TPA/47486 a permit is granted and directed to be issued for the land at 6-30 Brandon Park Drive, Wheelers Hill in accordance with the endorsed plans and the conditions set out in Appendix A. The permit allows: </w:t>
      </w:r>
    </w:p>
    <w:p w14:paraId="7B303D1D" w14:textId="77213844" w:rsidR="00B427B6" w:rsidRPr="00C255A5" w:rsidRDefault="00B427B6" w:rsidP="00B427B6">
      <w:pPr>
        <w:pStyle w:val="Order2"/>
        <w:numPr>
          <w:ilvl w:val="0"/>
          <w:numId w:val="26"/>
        </w:numPr>
        <w:ind w:left="1134" w:hanging="567"/>
      </w:pPr>
      <w:r w:rsidRPr="00C255A5">
        <w:t>Two lot subdivision and creation of two reserves in accordance with endorsed plans pursuant to Clause</w:t>
      </w:r>
      <w:r w:rsidR="005308B4">
        <w:t xml:space="preserve"> 32.08-3</w:t>
      </w:r>
      <w:r w:rsidRPr="00C255A5">
        <w:t xml:space="preserve"> of the Monash Planning Scheme</w:t>
      </w:r>
      <w:r w:rsidR="0029276C">
        <w:t>.</w:t>
      </w:r>
    </w:p>
    <w:p w14:paraId="616BBE13" w14:textId="422862B0" w:rsidR="003A39B1" w:rsidRDefault="003A39B1" w:rsidP="001E5F05"/>
    <w:p w14:paraId="225EC58B" w14:textId="28CD238A" w:rsidR="00A61DC3" w:rsidRDefault="00A61DC3" w:rsidP="001E5F05"/>
    <w:p w14:paraId="60D927E4" w14:textId="77777777" w:rsidR="00A61DC3" w:rsidRDefault="00A61DC3" w:rsidP="001E5F05"/>
    <w:p w14:paraId="7D67CE3E" w14:textId="77777777" w:rsidR="003A39B1" w:rsidRDefault="003A39B1" w:rsidP="001E5F05"/>
    <w:tbl>
      <w:tblPr>
        <w:tblW w:w="5000" w:type="pct"/>
        <w:tblLook w:val="0000" w:firstRow="0" w:lastRow="0" w:firstColumn="0" w:lastColumn="0" w:noHBand="0" w:noVBand="0"/>
      </w:tblPr>
      <w:tblGrid>
        <w:gridCol w:w="2976"/>
        <w:gridCol w:w="2552"/>
        <w:gridCol w:w="2977"/>
      </w:tblGrid>
      <w:tr w:rsidR="003A39B1" w14:paraId="1F22D742" w14:textId="77777777" w:rsidTr="00494EC0">
        <w:tc>
          <w:tcPr>
            <w:tcW w:w="1750" w:type="pct"/>
          </w:tcPr>
          <w:p w14:paraId="12601D95" w14:textId="77777777" w:rsidR="003A39B1" w:rsidRPr="00B876A2" w:rsidRDefault="003A39B1" w:rsidP="00494EC0">
            <w:pPr>
              <w:rPr>
                <w:b/>
              </w:rPr>
            </w:pPr>
            <w:r>
              <w:rPr>
                <w:b/>
              </w:rPr>
              <w:t>Dalia Cook</w:t>
            </w:r>
          </w:p>
          <w:p w14:paraId="0C5B96C1" w14:textId="77777777" w:rsidR="003A39B1" w:rsidRDefault="003A39B1" w:rsidP="00494EC0">
            <w:pPr>
              <w:tabs>
                <w:tab w:val="left" w:pos="1515"/>
              </w:tabs>
              <w:rPr>
                <w:b/>
              </w:rPr>
            </w:pPr>
            <w:r>
              <w:rPr>
                <w:b/>
              </w:rPr>
              <w:t>Member</w:t>
            </w:r>
          </w:p>
        </w:tc>
        <w:tc>
          <w:tcPr>
            <w:tcW w:w="1500" w:type="pct"/>
          </w:tcPr>
          <w:p w14:paraId="30B31161" w14:textId="77777777" w:rsidR="003A39B1" w:rsidRDefault="003A39B1" w:rsidP="00494EC0"/>
        </w:tc>
        <w:tc>
          <w:tcPr>
            <w:tcW w:w="1750" w:type="pct"/>
          </w:tcPr>
          <w:p w14:paraId="60AE709B" w14:textId="77777777" w:rsidR="003A39B1" w:rsidRDefault="003A39B1" w:rsidP="00494EC0"/>
        </w:tc>
      </w:tr>
    </w:tbl>
    <w:p w14:paraId="4A9842D1" w14:textId="49DAA908" w:rsidR="003A39B1" w:rsidRDefault="00B203DC" w:rsidP="001E5F05">
      <w:pPr>
        <w:pStyle w:val="Heading1"/>
        <w:rPr>
          <w:highlight w:val="yellow"/>
        </w:rPr>
      </w:pPr>
      <w:r>
        <w:rPr>
          <w:noProof/>
        </w:rPr>
        <w:lastRenderedPageBreak/>
        <w:drawing>
          <wp:anchor distT="0" distB="0" distL="114300" distR="114300" simplePos="0" relativeHeight="251659264" behindDoc="1" locked="0" layoutInCell="1" allowOverlap="1" wp14:anchorId="649373C4" wp14:editId="6E10238B">
            <wp:simplePos x="0" y="0"/>
            <wp:positionH relativeFrom="column">
              <wp:posOffset>5183505</wp:posOffset>
            </wp:positionH>
            <wp:positionV relativeFrom="paragraph">
              <wp:posOffset>8459470</wp:posOffset>
            </wp:positionV>
            <wp:extent cx="1080000" cy="1080000"/>
            <wp:effectExtent l="0" t="0" r="6350" b="6350"/>
            <wp:wrapNone/>
            <wp:docPr id="15" name="VCAT Seal2"/>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A39B1">
        <w:t>Appearances</w:t>
      </w:r>
      <w:r w:rsidR="00C50516">
        <w:rPr>
          <w:rStyle w:val="FootnoteReference"/>
        </w:rPr>
        <w:footnoteReference w:id="1"/>
      </w:r>
    </w:p>
    <w:tbl>
      <w:tblPr>
        <w:tblW w:w="5000" w:type="pct"/>
        <w:tblLook w:val="0000" w:firstRow="0" w:lastRow="0" w:firstColumn="0" w:lastColumn="0" w:noHBand="0" w:noVBand="0"/>
      </w:tblPr>
      <w:tblGrid>
        <w:gridCol w:w="3441"/>
        <w:gridCol w:w="5064"/>
      </w:tblGrid>
      <w:tr w:rsidR="003A39B1" w14:paraId="0FEF3DEB" w14:textId="77777777" w:rsidTr="00494EC0">
        <w:trPr>
          <w:cantSplit/>
        </w:trPr>
        <w:tc>
          <w:tcPr>
            <w:tcW w:w="2023" w:type="pct"/>
          </w:tcPr>
          <w:p w14:paraId="4E481953" w14:textId="0E87F417" w:rsidR="003A39B1" w:rsidRDefault="003A39B1" w:rsidP="00494EC0">
            <w:pPr>
              <w:pStyle w:val="TitlePagetext"/>
            </w:pPr>
            <w:r>
              <w:t xml:space="preserve">For </w:t>
            </w:r>
            <w:r w:rsidR="00C50516">
              <w:t>A</w:t>
            </w:r>
            <w:r>
              <w:t>pplicant</w:t>
            </w:r>
          </w:p>
        </w:tc>
        <w:tc>
          <w:tcPr>
            <w:tcW w:w="2977" w:type="pct"/>
          </w:tcPr>
          <w:p w14:paraId="3F007758" w14:textId="379E059D" w:rsidR="003A39B1" w:rsidRDefault="00C50516" w:rsidP="00494EC0">
            <w:pPr>
              <w:pStyle w:val="TitlePagetext"/>
            </w:pPr>
            <w:r>
              <w:t xml:space="preserve">Mr </w:t>
            </w:r>
            <w:r w:rsidR="00910CA1">
              <w:t>David Passarella, Solicitor, Mills Oakley</w:t>
            </w:r>
          </w:p>
        </w:tc>
      </w:tr>
      <w:tr w:rsidR="003A39B1" w14:paraId="4ECB78FD" w14:textId="77777777" w:rsidTr="00494EC0">
        <w:trPr>
          <w:cantSplit/>
        </w:trPr>
        <w:tc>
          <w:tcPr>
            <w:tcW w:w="2023" w:type="pct"/>
          </w:tcPr>
          <w:p w14:paraId="682716C4" w14:textId="6672D73B" w:rsidR="003A39B1" w:rsidRDefault="003A39B1" w:rsidP="00494EC0">
            <w:pPr>
              <w:pStyle w:val="TitlePagetext"/>
            </w:pPr>
            <w:r>
              <w:t xml:space="preserve">For </w:t>
            </w:r>
            <w:r w:rsidR="00C50516">
              <w:t>R</w:t>
            </w:r>
            <w:r>
              <w:t xml:space="preserve">esponsible </w:t>
            </w:r>
            <w:r w:rsidR="00C50516">
              <w:t>A</w:t>
            </w:r>
            <w:r>
              <w:t>uthority</w:t>
            </w:r>
          </w:p>
        </w:tc>
        <w:tc>
          <w:tcPr>
            <w:tcW w:w="2977" w:type="pct"/>
          </w:tcPr>
          <w:p w14:paraId="3EA15876" w14:textId="6E492F9B" w:rsidR="003A39B1" w:rsidRDefault="00910CA1" w:rsidP="00494EC0">
            <w:pPr>
              <w:pStyle w:val="TitlePagetext"/>
            </w:pPr>
            <w:r>
              <w:t>Mr Terry Montebello, Solicitor, Maddocks</w:t>
            </w:r>
          </w:p>
        </w:tc>
      </w:tr>
    </w:tbl>
    <w:p w14:paraId="1DF87EE5" w14:textId="77777777" w:rsidR="003A39B1" w:rsidRDefault="003A39B1" w:rsidP="001E5F05">
      <w:r>
        <w:br w:type="page"/>
      </w:r>
    </w:p>
    <w:p w14:paraId="78356E49" w14:textId="6D5524CE" w:rsidR="003A39B1" w:rsidRDefault="00B203DC" w:rsidP="001E5F05">
      <w:pPr>
        <w:pStyle w:val="Heading1"/>
        <w:rPr>
          <w:highlight w:val="yellow"/>
        </w:rPr>
      </w:pPr>
      <w:r>
        <w:rPr>
          <w:noProof/>
        </w:rPr>
        <w:lastRenderedPageBreak/>
        <w:drawing>
          <wp:anchor distT="0" distB="0" distL="114300" distR="114300" simplePos="0" relativeHeight="251660288" behindDoc="1" locked="0" layoutInCell="1" allowOverlap="1" wp14:anchorId="7671F43C" wp14:editId="1F21A53E">
            <wp:simplePos x="0" y="0"/>
            <wp:positionH relativeFrom="column">
              <wp:posOffset>5183505</wp:posOffset>
            </wp:positionH>
            <wp:positionV relativeFrom="paragraph">
              <wp:posOffset>8459470</wp:posOffset>
            </wp:positionV>
            <wp:extent cx="1080000" cy="1080000"/>
            <wp:effectExtent l="0" t="0" r="6350" b="6350"/>
            <wp:wrapNone/>
            <wp:docPr id="16" name="VCAT Seal3"/>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A39B1">
        <w:t>Information</w:t>
      </w:r>
    </w:p>
    <w:tbl>
      <w:tblPr>
        <w:tblW w:w="5000" w:type="pct"/>
        <w:tblLook w:val="0000" w:firstRow="0" w:lastRow="0" w:firstColumn="0" w:lastColumn="0" w:noHBand="0" w:noVBand="0"/>
      </w:tblPr>
      <w:tblGrid>
        <w:gridCol w:w="3273"/>
        <w:gridCol w:w="5232"/>
      </w:tblGrid>
      <w:tr w:rsidR="003A39B1" w14:paraId="11436A30" w14:textId="77777777" w:rsidTr="00494EC0">
        <w:trPr>
          <w:cantSplit/>
        </w:trPr>
        <w:tc>
          <w:tcPr>
            <w:tcW w:w="1924" w:type="pct"/>
          </w:tcPr>
          <w:p w14:paraId="34D4E06E" w14:textId="77777777" w:rsidR="003A39B1" w:rsidRDefault="003A39B1" w:rsidP="00494EC0">
            <w:pPr>
              <w:pStyle w:val="TitlePagetext"/>
            </w:pPr>
            <w:r>
              <w:t>Description of proposal</w:t>
            </w:r>
          </w:p>
        </w:tc>
        <w:tc>
          <w:tcPr>
            <w:tcW w:w="3076" w:type="pct"/>
          </w:tcPr>
          <w:p w14:paraId="65B2A3D1" w14:textId="7627F326" w:rsidR="003A39B1" w:rsidRPr="00851E10" w:rsidRDefault="002552D7" w:rsidP="00494EC0">
            <w:pPr>
              <w:pStyle w:val="TitlePagetext"/>
            </w:pPr>
            <w:r>
              <w:t>Two lot subdivision</w:t>
            </w:r>
            <w:r w:rsidR="00D07777">
              <w:t xml:space="preserve">– one lot of 3.65 hectares and a balance lot of 9,056sqm. </w:t>
            </w:r>
            <w:r w:rsidR="00343E2A">
              <w:t>Creation of two reserves - a</w:t>
            </w:r>
            <w:r w:rsidR="00D07777">
              <w:t xml:space="preserve"> 901sqm treed reserve is proposed on the north west corner of the land and a linear open space reserve </w:t>
            </w:r>
            <w:r w:rsidR="00AA2B5F">
              <w:t xml:space="preserve">of 9,119sqm </w:t>
            </w:r>
            <w:r w:rsidR="00D07777">
              <w:t xml:space="preserve">orientated east-west is proposed to the south of the retirement village </w:t>
            </w:r>
            <w:r w:rsidR="00343E2A">
              <w:t>and aged care facility</w:t>
            </w:r>
            <w:r w:rsidR="00D07777">
              <w:t xml:space="preserve">. </w:t>
            </w:r>
          </w:p>
        </w:tc>
      </w:tr>
      <w:tr w:rsidR="003A39B1" w14:paraId="2FB64D81" w14:textId="77777777" w:rsidTr="00494EC0">
        <w:trPr>
          <w:cantSplit/>
        </w:trPr>
        <w:tc>
          <w:tcPr>
            <w:tcW w:w="1924" w:type="pct"/>
          </w:tcPr>
          <w:p w14:paraId="624D5E12" w14:textId="77777777" w:rsidR="003A39B1" w:rsidRDefault="003A39B1" w:rsidP="00494EC0">
            <w:pPr>
              <w:pStyle w:val="TitlePagetext"/>
            </w:pPr>
            <w:r>
              <w:t>Nature of proceeding</w:t>
            </w:r>
          </w:p>
        </w:tc>
        <w:tc>
          <w:tcPr>
            <w:tcW w:w="3076" w:type="pct"/>
          </w:tcPr>
          <w:p w14:paraId="4D1EBFF1" w14:textId="212FA380" w:rsidR="003A39B1" w:rsidRPr="00851E10" w:rsidRDefault="003A39B1" w:rsidP="003A39B1">
            <w:pPr>
              <w:pStyle w:val="TitlePagetext"/>
            </w:pPr>
            <w:r>
              <w:t xml:space="preserve">Application under section 77 of the </w:t>
            </w:r>
            <w:r>
              <w:rPr>
                <w:i/>
              </w:rPr>
              <w:t xml:space="preserve">Planning and Environment Act </w:t>
            </w:r>
            <w:r w:rsidRPr="002B7051">
              <w:rPr>
                <w:i/>
              </w:rPr>
              <w:t>1987</w:t>
            </w:r>
            <w:r>
              <w:t xml:space="preserve"> – to review </w:t>
            </w:r>
            <w:r w:rsidR="00910CA1">
              <w:t>a</w:t>
            </w:r>
            <w:r>
              <w:t xml:space="preserve"> refusal to grant a permit</w:t>
            </w:r>
          </w:p>
        </w:tc>
      </w:tr>
      <w:tr w:rsidR="003A39B1" w14:paraId="34813CC1" w14:textId="77777777" w:rsidTr="00494EC0">
        <w:trPr>
          <w:cantSplit/>
        </w:trPr>
        <w:tc>
          <w:tcPr>
            <w:tcW w:w="1924" w:type="pct"/>
          </w:tcPr>
          <w:p w14:paraId="7FC8163E" w14:textId="77777777" w:rsidR="003A39B1" w:rsidRPr="005C699E" w:rsidRDefault="003A39B1" w:rsidP="00494EC0">
            <w:pPr>
              <w:pStyle w:val="TitlePagetext"/>
            </w:pPr>
            <w:r>
              <w:t>Planning scheme</w:t>
            </w:r>
          </w:p>
        </w:tc>
        <w:tc>
          <w:tcPr>
            <w:tcW w:w="3076" w:type="pct"/>
          </w:tcPr>
          <w:p w14:paraId="3A0A3432" w14:textId="77777777" w:rsidR="003A39B1" w:rsidRPr="00851E10" w:rsidRDefault="003A39B1" w:rsidP="00494EC0">
            <w:pPr>
              <w:pStyle w:val="TitlePagetext"/>
            </w:pPr>
            <w:r>
              <w:t>Monash Planning Scheme</w:t>
            </w:r>
          </w:p>
        </w:tc>
      </w:tr>
      <w:tr w:rsidR="003A39B1" w14:paraId="756251A5" w14:textId="77777777" w:rsidTr="00494EC0">
        <w:trPr>
          <w:cantSplit/>
        </w:trPr>
        <w:tc>
          <w:tcPr>
            <w:tcW w:w="1924" w:type="pct"/>
          </w:tcPr>
          <w:p w14:paraId="5D0482BE" w14:textId="77777777" w:rsidR="003A39B1" w:rsidRDefault="003A39B1" w:rsidP="00494EC0">
            <w:pPr>
              <w:pStyle w:val="TitlePagetext"/>
            </w:pPr>
            <w:r w:rsidRPr="005C699E">
              <w:t xml:space="preserve">Zone and </w:t>
            </w:r>
            <w:r>
              <w:t>o</w:t>
            </w:r>
            <w:r w:rsidRPr="005C699E">
              <w:t>verlays</w:t>
            </w:r>
          </w:p>
        </w:tc>
        <w:tc>
          <w:tcPr>
            <w:tcW w:w="3076" w:type="pct"/>
          </w:tcPr>
          <w:p w14:paraId="6B6EFA1B" w14:textId="7C710EDC" w:rsidR="003A39B1" w:rsidRDefault="00D07777" w:rsidP="00494EC0">
            <w:pPr>
              <w:pStyle w:val="TitlePagetext"/>
            </w:pPr>
            <w:r>
              <w:t>General Residential Zone (Schedule 10)</w:t>
            </w:r>
          </w:p>
          <w:p w14:paraId="1E2D067E" w14:textId="73E47A9C" w:rsidR="002552D7" w:rsidRDefault="002552D7" w:rsidP="00494EC0">
            <w:pPr>
              <w:pStyle w:val="TitlePagetext"/>
            </w:pPr>
            <w:r>
              <w:t>Development Plan Overlay</w:t>
            </w:r>
            <w:r w:rsidR="00D07777">
              <w:t xml:space="preserve"> (Schedule 4) </w:t>
            </w:r>
            <w:r w:rsidR="00A57F58">
              <w:t>– Brandon Park Residential Development Plan</w:t>
            </w:r>
          </w:p>
          <w:p w14:paraId="11188992" w14:textId="74A68B73" w:rsidR="00D07777" w:rsidRPr="00851E10" w:rsidRDefault="00D07777" w:rsidP="00494EC0">
            <w:pPr>
              <w:pStyle w:val="TitlePagetext"/>
            </w:pPr>
            <w:r>
              <w:t xml:space="preserve">Heritage Overlay (part) (Schedule 102) </w:t>
            </w:r>
          </w:p>
        </w:tc>
      </w:tr>
      <w:tr w:rsidR="003A39B1" w14:paraId="148A15C3" w14:textId="77777777" w:rsidTr="00494EC0">
        <w:trPr>
          <w:cantSplit/>
        </w:trPr>
        <w:tc>
          <w:tcPr>
            <w:tcW w:w="1924" w:type="pct"/>
          </w:tcPr>
          <w:p w14:paraId="57E31C34" w14:textId="77777777" w:rsidR="003A39B1" w:rsidRPr="005C699E" w:rsidRDefault="003A39B1" w:rsidP="00494EC0">
            <w:pPr>
              <w:pStyle w:val="TitlePagetext"/>
            </w:pPr>
            <w:r>
              <w:t>Permit requirements</w:t>
            </w:r>
          </w:p>
        </w:tc>
        <w:tc>
          <w:tcPr>
            <w:tcW w:w="3076" w:type="pct"/>
          </w:tcPr>
          <w:p w14:paraId="3EBDDB12" w14:textId="5C27A27F" w:rsidR="003A39B1" w:rsidRPr="00851E10" w:rsidRDefault="00D07777" w:rsidP="00494EC0">
            <w:pPr>
              <w:pStyle w:val="TitlePagetext"/>
            </w:pPr>
            <w:r>
              <w:t>Clause 32.08-</w:t>
            </w:r>
            <w:r w:rsidR="003613C0">
              <w:t>3</w:t>
            </w:r>
            <w:r>
              <w:t xml:space="preserve"> (General Residential Zone)</w:t>
            </w:r>
            <w:r w:rsidR="005A0B0B">
              <w:rPr>
                <w:rStyle w:val="FootnoteReference"/>
              </w:rPr>
              <w:footnoteReference w:id="2"/>
            </w:r>
            <w:r w:rsidR="005A0B0B">
              <w:t xml:space="preserve">  </w:t>
            </w:r>
          </w:p>
        </w:tc>
      </w:tr>
      <w:tr w:rsidR="003A39B1" w14:paraId="4825A306" w14:textId="77777777" w:rsidTr="00494EC0">
        <w:trPr>
          <w:cantSplit/>
        </w:trPr>
        <w:tc>
          <w:tcPr>
            <w:tcW w:w="1924" w:type="pct"/>
          </w:tcPr>
          <w:p w14:paraId="3999974A" w14:textId="77777777" w:rsidR="003A39B1" w:rsidRDefault="003A39B1" w:rsidP="00494EC0">
            <w:pPr>
              <w:pStyle w:val="TitlePagetext"/>
            </w:pPr>
            <w:r>
              <w:t>Land description</w:t>
            </w:r>
          </w:p>
        </w:tc>
        <w:tc>
          <w:tcPr>
            <w:tcW w:w="3076" w:type="pct"/>
          </w:tcPr>
          <w:p w14:paraId="544DCFB1" w14:textId="056606BD" w:rsidR="003A39B1" w:rsidRPr="00851E10" w:rsidRDefault="00D07777" w:rsidP="00494EC0">
            <w:pPr>
              <w:pStyle w:val="TitlePagetext"/>
            </w:pPr>
            <w:r>
              <w:t>The subject land is</w:t>
            </w:r>
            <w:r w:rsidR="00C7314F">
              <w:t xml:space="preserve"> an L-shaped site</w:t>
            </w:r>
            <w:r>
              <w:t xml:space="preserve"> located near the corner of Springvale Road and Ferntree Gully Road, east of Brandon Park Shopping Centre.  The </w:t>
            </w:r>
            <w:r w:rsidR="00691383">
              <w:t xml:space="preserve">subject </w:t>
            </w:r>
            <w:r>
              <w:t xml:space="preserve">land has a total area of approximately 5.76 hectares and is the site of the former Brandon Park Secondary College.  The northern part of the land has been </w:t>
            </w:r>
            <w:r w:rsidR="003613C0">
              <w:t xml:space="preserve">recently </w:t>
            </w:r>
            <w:r>
              <w:t xml:space="preserve">developed with a complex of buildings </w:t>
            </w:r>
            <w:r w:rsidR="003613C0">
              <w:t xml:space="preserve">known as </w:t>
            </w:r>
            <w:r>
              <w:t>the Nellie Melba Retirement Village</w:t>
            </w:r>
            <w:r w:rsidR="007E3F47">
              <w:t xml:space="preserve"> and aged care facility</w:t>
            </w:r>
            <w:r>
              <w:t xml:space="preserve">.  The balance of the </w:t>
            </w:r>
            <w:r w:rsidR="00691383">
              <w:t xml:space="preserve">subject </w:t>
            </w:r>
            <w:r>
              <w:t xml:space="preserve">land to the south west is </w:t>
            </w:r>
            <w:r w:rsidR="003613C0">
              <w:t xml:space="preserve">fenced and </w:t>
            </w:r>
            <w:r>
              <w:t xml:space="preserve">undeveloped with </w:t>
            </w:r>
            <w:r w:rsidR="007E3F47">
              <w:t xml:space="preserve">scattered </w:t>
            </w:r>
            <w:r>
              <w:t xml:space="preserve">established trees. </w:t>
            </w:r>
            <w:r w:rsidR="005B5C9D">
              <w:t>Th</w:t>
            </w:r>
            <w:r w:rsidR="007E3F47">
              <w:t>at</w:t>
            </w:r>
            <w:r w:rsidR="005B5C9D">
              <w:t xml:space="preserve"> part of the land adjoins the Monash Special Developmental School.  </w:t>
            </w:r>
          </w:p>
        </w:tc>
      </w:tr>
    </w:tbl>
    <w:p w14:paraId="78E74550" w14:textId="77777777" w:rsidR="003A39B1" w:rsidRDefault="003A39B1" w:rsidP="001E5F05">
      <w:pPr>
        <w:pStyle w:val="Order1"/>
      </w:pPr>
    </w:p>
    <w:p w14:paraId="5B5B057F" w14:textId="1B412A6C" w:rsidR="003A39B1" w:rsidRDefault="003A39B1" w:rsidP="001E5F05">
      <w:pPr>
        <w:pStyle w:val="Heading1"/>
      </w:pPr>
      <w:r>
        <w:br w:type="page"/>
      </w:r>
      <w:r w:rsidR="00B203DC">
        <w:rPr>
          <w:noProof/>
        </w:rPr>
        <w:lastRenderedPageBreak/>
        <w:drawing>
          <wp:anchor distT="0" distB="0" distL="114300" distR="114300" simplePos="0" relativeHeight="251661312" behindDoc="1" locked="0" layoutInCell="1" allowOverlap="1" wp14:anchorId="2E052BAE" wp14:editId="549433BC">
            <wp:simplePos x="0" y="0"/>
            <wp:positionH relativeFrom="column">
              <wp:posOffset>5183505</wp:posOffset>
            </wp:positionH>
            <wp:positionV relativeFrom="paragraph">
              <wp:posOffset>8459470</wp:posOffset>
            </wp:positionV>
            <wp:extent cx="1080000" cy="1080000"/>
            <wp:effectExtent l="0" t="0" r="6350" b="6350"/>
            <wp:wrapNone/>
            <wp:docPr id="17" name="VCAT Seal4"/>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3"/>
      </w:r>
    </w:p>
    <w:p w14:paraId="4DEEC7A8" w14:textId="11D08798" w:rsidR="003A39B1" w:rsidRPr="002552D7" w:rsidRDefault="002552D7" w:rsidP="00B3740A">
      <w:pPr>
        <w:pStyle w:val="Heading2"/>
      </w:pPr>
      <w:r w:rsidRPr="002552D7">
        <w:t>Introduction</w:t>
      </w:r>
    </w:p>
    <w:p w14:paraId="23997FEA" w14:textId="6BF2AA11" w:rsidR="001572DF" w:rsidRDefault="001572DF" w:rsidP="00B427B6">
      <w:pPr>
        <w:pStyle w:val="Para1"/>
        <w:tabs>
          <w:tab w:val="clear" w:pos="709"/>
          <w:tab w:val="num" w:pos="567"/>
        </w:tabs>
        <w:ind w:left="567"/>
      </w:pPr>
      <w:r>
        <w:t xml:space="preserve">The use and development of the subject land is regulated by an approved Development Plan in addition to other relevant parts of the Monash Planning Scheme (Planning Scheme).  </w:t>
      </w:r>
    </w:p>
    <w:p w14:paraId="5C6E4ECC" w14:textId="2E826429" w:rsidR="003A39B1" w:rsidRDefault="001572DF" w:rsidP="00B427B6">
      <w:pPr>
        <w:pStyle w:val="Para1"/>
        <w:tabs>
          <w:tab w:val="clear" w:pos="709"/>
          <w:tab w:val="num" w:pos="567"/>
        </w:tabs>
        <w:ind w:left="567"/>
      </w:pPr>
      <w:r w:rsidRPr="00EA1C45">
        <w:rPr>
          <w:noProof/>
        </w:rPr>
        <w:t>Ryman Healthcare (Australia) Pty Ltd</w:t>
      </w:r>
      <w:r>
        <w:t xml:space="preserve"> (the Applicant) seeks to subdivide the subject land to create two reserves to vest in Monash City Council and to create </w:t>
      </w:r>
      <w:r w:rsidR="00195CB5">
        <w:t xml:space="preserve">two lots including </w:t>
      </w:r>
      <w:r>
        <w:t xml:space="preserve">a balance lot which is not required for the use and development of the </w:t>
      </w:r>
      <w:r w:rsidR="00AA1D06">
        <w:t xml:space="preserve">aged care and </w:t>
      </w:r>
      <w:r w:rsidR="00D07777">
        <w:t xml:space="preserve">retirement </w:t>
      </w:r>
      <w:r w:rsidR="00AA1D06">
        <w:t>facility</w:t>
      </w:r>
      <w:r>
        <w:t xml:space="preserve"> on the property.  </w:t>
      </w:r>
    </w:p>
    <w:p w14:paraId="2B8981CF" w14:textId="1DAB3A01" w:rsidR="001572DF" w:rsidRDefault="00C6718C" w:rsidP="00B427B6">
      <w:pPr>
        <w:pStyle w:val="Para1"/>
        <w:tabs>
          <w:tab w:val="clear" w:pos="709"/>
          <w:tab w:val="num" w:pos="567"/>
        </w:tabs>
        <w:ind w:left="567"/>
      </w:pPr>
      <w:r>
        <w:t xml:space="preserve">Clause 43.04-2 of the Planning Scheme requires all planning permits to be generally in accordance with an applicable Development Plan.  </w:t>
      </w:r>
      <w:r w:rsidR="001572DF">
        <w:t>The Responsible Authority refused to grant a planning permit on the sole ground that the two lot subdivision would not be generally in accordance with the approved Development Plan.</w:t>
      </w:r>
      <w:r w:rsidR="003E2565">
        <w:t xml:space="preserve">  In its view, this </w:t>
      </w:r>
      <w:r w:rsidR="001572DF">
        <w:t>would preclude the grant of the permit</w:t>
      </w:r>
      <w:r w:rsidR="003E2565">
        <w:t xml:space="preserve"> under review</w:t>
      </w:r>
      <w:r w:rsidR="001572DF">
        <w:t xml:space="preserve">.  </w:t>
      </w:r>
    </w:p>
    <w:p w14:paraId="255DA24F" w14:textId="00931888" w:rsidR="001572DF" w:rsidRDefault="001572DF" w:rsidP="00B427B6">
      <w:pPr>
        <w:pStyle w:val="Para1"/>
        <w:tabs>
          <w:tab w:val="clear" w:pos="709"/>
          <w:tab w:val="num" w:pos="567"/>
        </w:tabs>
        <w:ind w:left="567"/>
      </w:pPr>
      <w:r>
        <w:t xml:space="preserve">The Applicant responded that the two lot subdivision was generally in accordance with the Development Plan </w:t>
      </w:r>
      <w:r w:rsidR="00696384">
        <w:t>and</w:t>
      </w:r>
      <w:r>
        <w:t xml:space="preserve"> that it was appropriate to grant the permission sought.  </w:t>
      </w:r>
    </w:p>
    <w:p w14:paraId="0ED1CEFD" w14:textId="6FF46D0D" w:rsidR="003A39B1" w:rsidRDefault="002552D7" w:rsidP="00A61DC3">
      <w:pPr>
        <w:pStyle w:val="Heading2"/>
      </w:pPr>
      <w:r w:rsidRPr="002552D7">
        <w:t>Relevant approvals</w:t>
      </w:r>
    </w:p>
    <w:p w14:paraId="7C4128F3" w14:textId="7C44069D" w:rsidR="001572DF" w:rsidRDefault="003613C0" w:rsidP="00B427B6">
      <w:pPr>
        <w:pStyle w:val="Para1"/>
        <w:tabs>
          <w:tab w:val="clear" w:pos="709"/>
          <w:tab w:val="num" w:pos="567"/>
        </w:tabs>
        <w:ind w:left="567"/>
      </w:pPr>
      <w:r>
        <w:t xml:space="preserve">A </w:t>
      </w:r>
      <w:r w:rsidR="00D07777">
        <w:t xml:space="preserve">Development Plan </w:t>
      </w:r>
      <w:r w:rsidR="003865C8">
        <w:t xml:space="preserve">for a Comprehensive Care Retirement Village on </w:t>
      </w:r>
      <w:r w:rsidR="00D07777">
        <w:t xml:space="preserve">the </w:t>
      </w:r>
      <w:r w:rsidR="00691383">
        <w:t xml:space="preserve">subject </w:t>
      </w:r>
      <w:r w:rsidR="00D07777">
        <w:t xml:space="preserve">land </w:t>
      </w:r>
      <w:r w:rsidR="003865C8">
        <w:t xml:space="preserve">(dated August 2016) </w:t>
      </w:r>
      <w:r w:rsidR="00D07777">
        <w:t xml:space="preserve">was approved by </w:t>
      </w:r>
      <w:r w:rsidR="00D21181">
        <w:t>the Responsible Authority</w:t>
      </w:r>
      <w:r w:rsidR="00D07777">
        <w:t xml:space="preserve"> </w:t>
      </w:r>
      <w:r w:rsidR="003865C8">
        <w:t>on 31 January 2017</w:t>
      </w:r>
      <w:r w:rsidR="00D07777">
        <w:t>.</w:t>
      </w:r>
      <w:r w:rsidR="003865C8">
        <w:rPr>
          <w:rStyle w:val="FootnoteReference"/>
        </w:rPr>
        <w:footnoteReference w:id="4"/>
      </w:r>
      <w:r w:rsidR="00D07777">
        <w:t xml:space="preserve"> </w:t>
      </w:r>
    </w:p>
    <w:p w14:paraId="4E07D73F" w14:textId="537C44B3" w:rsidR="005B5C9D" w:rsidRDefault="005B5C9D" w:rsidP="00B427B6">
      <w:pPr>
        <w:pStyle w:val="Para1"/>
        <w:tabs>
          <w:tab w:val="clear" w:pos="709"/>
          <w:tab w:val="num" w:pos="567"/>
        </w:tabs>
        <w:ind w:left="567"/>
      </w:pPr>
      <w:r>
        <w:t xml:space="preserve">Key development objectives include respecting the Garden City </w:t>
      </w:r>
      <w:r w:rsidR="003613C0">
        <w:t>c</w:t>
      </w:r>
      <w:r>
        <w:t>haracter; appropriate setbacks and graduation in building height; retention of trees; east-west permeability; provision of land for public use and appropriate access and parking.</w:t>
      </w:r>
      <w:r>
        <w:rPr>
          <w:rStyle w:val="FootnoteReference"/>
        </w:rPr>
        <w:footnoteReference w:id="5"/>
      </w:r>
      <w:r>
        <w:t xml:space="preserve">  </w:t>
      </w:r>
    </w:p>
    <w:p w14:paraId="3714F1AE" w14:textId="2D109577" w:rsidR="005B5C9D" w:rsidRDefault="005B5C9D" w:rsidP="00B427B6">
      <w:pPr>
        <w:pStyle w:val="Para1"/>
        <w:tabs>
          <w:tab w:val="clear" w:pos="709"/>
          <w:tab w:val="num" w:pos="567"/>
        </w:tabs>
        <w:ind w:left="567"/>
      </w:pPr>
      <w:r>
        <w:t xml:space="preserve">Key Development Plan objectives include an assessment of the site and surrounds; an outline of the design response by reference to legislation and policy; plans for high quality development; addressing traffic management, parking and the movement network; outlining </w:t>
      </w:r>
      <w:r w:rsidR="00494EC0">
        <w:t xml:space="preserve">16.4% </w:t>
      </w:r>
      <w:r>
        <w:t xml:space="preserve">open space </w:t>
      </w:r>
      <w:r w:rsidR="00494EC0">
        <w:t xml:space="preserve">with </w:t>
      </w:r>
      <w:r>
        <w:t>landscaping strategies</w:t>
      </w:r>
      <w:r w:rsidR="00494EC0">
        <w:t>,</w:t>
      </w:r>
      <w:r>
        <w:t xml:space="preserve"> and describing sustainable and innovative design solutions.  </w:t>
      </w:r>
    </w:p>
    <w:p w14:paraId="251ABAD8" w14:textId="72A33E0F" w:rsidR="00FE0B91" w:rsidRDefault="00FE0B91" w:rsidP="00B427B6">
      <w:pPr>
        <w:pStyle w:val="Para1"/>
        <w:tabs>
          <w:tab w:val="clear" w:pos="709"/>
          <w:tab w:val="num" w:pos="567"/>
        </w:tabs>
        <w:ind w:left="567"/>
      </w:pPr>
      <w:r>
        <w:t xml:space="preserve">Although </w:t>
      </w:r>
      <w:r w:rsidR="00A57F58">
        <w:t>Cause 3.0 of the s</w:t>
      </w:r>
      <w:r>
        <w:t xml:space="preserve">chedule </w:t>
      </w:r>
      <w:r w:rsidR="00A57F58">
        <w:t xml:space="preserve">to </w:t>
      </w:r>
      <w:r>
        <w:t>the Development Plan Overlay provides that the Development Plan</w:t>
      </w:r>
      <w:r w:rsidR="00A57F58">
        <w:t xml:space="preserve"> should show “the subdivision layout of the site including lot numbers, and approximate lot sizes”</w:t>
      </w:r>
      <w:r>
        <w:t xml:space="preserve">, the Development Plan </w:t>
      </w:r>
      <w:r w:rsidR="00A57F58">
        <w:t xml:space="preserve">ultimately approved </w:t>
      </w:r>
      <w:r>
        <w:t xml:space="preserve">did not explicitly indicate proposed lot boundaries </w:t>
      </w:r>
      <w:r w:rsidR="00B203DC">
        <w:rPr>
          <w:noProof/>
        </w:rPr>
        <w:lastRenderedPageBreak/>
        <w:drawing>
          <wp:anchor distT="0" distB="0" distL="114300" distR="114300" simplePos="0" relativeHeight="251662336" behindDoc="1" locked="0" layoutInCell="1" allowOverlap="1" wp14:anchorId="7B90C5B9" wp14:editId="1F33D7EB">
            <wp:simplePos x="0" y="0"/>
            <wp:positionH relativeFrom="column">
              <wp:posOffset>5183505</wp:posOffset>
            </wp:positionH>
            <wp:positionV relativeFrom="paragraph">
              <wp:posOffset>8459470</wp:posOffset>
            </wp:positionV>
            <wp:extent cx="1080000" cy="1080000"/>
            <wp:effectExtent l="0" t="0" r="6350" b="6350"/>
            <wp:wrapNone/>
            <wp:docPr id="18" name="VCAT Seal5"/>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or the number of lots to be created </w:t>
      </w:r>
      <w:r w:rsidR="003613C0">
        <w:t>for</w:t>
      </w:r>
      <w:r>
        <w:t xml:space="preserve"> the ultimate configuration of the </w:t>
      </w:r>
      <w:r w:rsidR="00691383">
        <w:t>subject land</w:t>
      </w:r>
      <w:r>
        <w:t xml:space="preserve">.  </w:t>
      </w:r>
    </w:p>
    <w:p w14:paraId="5244E78B" w14:textId="27F0CED6" w:rsidR="00600FC6" w:rsidRDefault="00600FC6" w:rsidP="00B427B6">
      <w:pPr>
        <w:pStyle w:val="Para1"/>
        <w:tabs>
          <w:tab w:val="clear" w:pos="709"/>
          <w:tab w:val="num" w:pos="567"/>
        </w:tabs>
        <w:ind w:left="567"/>
      </w:pPr>
      <w:r>
        <w:t xml:space="preserve">Notably, the south western part of the </w:t>
      </w:r>
      <w:r w:rsidR="00691383">
        <w:t>subject land</w:t>
      </w:r>
      <w:r>
        <w:t xml:space="preserve"> </w:t>
      </w:r>
      <w:r w:rsidR="003613C0">
        <w:t xml:space="preserve">now </w:t>
      </w:r>
      <w:r>
        <w:t xml:space="preserve">proposed to be subdivided is identified on the approved Development Plan as </w:t>
      </w:r>
      <w:r w:rsidR="005345F9">
        <w:t>‘</w:t>
      </w:r>
      <w:r w:rsidR="003613C0">
        <w:t>s</w:t>
      </w:r>
      <w:r>
        <w:t>ecure surplus land</w:t>
      </w:r>
      <w:r w:rsidR="005345F9">
        <w:t>’</w:t>
      </w:r>
      <w:r w:rsidR="005707F3">
        <w:t xml:space="preserve"> (surplus land)</w:t>
      </w:r>
      <w:r>
        <w:t>.</w:t>
      </w:r>
      <w:r>
        <w:rPr>
          <w:rStyle w:val="FootnoteReference"/>
        </w:rPr>
        <w:footnoteReference w:id="6"/>
      </w:r>
      <w:r>
        <w:t xml:space="preserve"> </w:t>
      </w:r>
    </w:p>
    <w:p w14:paraId="4DC9C8C5" w14:textId="500379DE" w:rsidR="00C7314F" w:rsidRDefault="00C7314F" w:rsidP="00B427B6">
      <w:pPr>
        <w:pStyle w:val="Para1"/>
        <w:tabs>
          <w:tab w:val="clear" w:pos="709"/>
          <w:tab w:val="num" w:pos="567"/>
        </w:tabs>
        <w:ind w:left="567"/>
      </w:pPr>
      <w:r>
        <w:t>A planning permit issued in March 2017 allowing the development of the</w:t>
      </w:r>
      <w:r w:rsidR="003613C0">
        <w:t xml:space="preserve"> </w:t>
      </w:r>
      <w:r>
        <w:t>subject land for a retirement village and residential aged care facility.</w:t>
      </w:r>
      <w:r>
        <w:rPr>
          <w:rStyle w:val="FootnoteReference"/>
        </w:rPr>
        <w:footnoteReference w:id="7"/>
      </w:r>
      <w:r>
        <w:t xml:space="preserve"> </w:t>
      </w:r>
    </w:p>
    <w:p w14:paraId="51281CAF" w14:textId="001B14CA" w:rsidR="00C7314F" w:rsidRDefault="00C7314F" w:rsidP="00B427B6">
      <w:pPr>
        <w:pStyle w:val="Para1"/>
        <w:tabs>
          <w:tab w:val="clear" w:pos="709"/>
          <w:tab w:val="num" w:pos="567"/>
        </w:tabs>
        <w:ind w:left="567"/>
      </w:pPr>
      <w:r>
        <w:t>Condition 6 of this permit required that before the development commence</w:t>
      </w:r>
      <w:r w:rsidR="003613C0">
        <w:t>s</w:t>
      </w:r>
      <w:r>
        <w:t xml:space="preserve">, a Plan of Subdivision must be lodged with the Responsible Authority to vest the public open space reserve (including heritage trees), pedestrian link and open space areas in Council.  Separate title to these reserves was required to issue before a Certificate of Occupancy for the facility.  </w:t>
      </w:r>
    </w:p>
    <w:p w14:paraId="4DA4FEA4" w14:textId="174D7A4B" w:rsidR="00C7314F" w:rsidRDefault="00C7314F" w:rsidP="00B427B6">
      <w:pPr>
        <w:pStyle w:val="Para1"/>
        <w:tabs>
          <w:tab w:val="clear" w:pos="709"/>
          <w:tab w:val="num" w:pos="567"/>
        </w:tabs>
        <w:ind w:left="567"/>
      </w:pPr>
      <w:r>
        <w:t xml:space="preserve">The Applicant acted on this permit and submitted that the current permit application seeks to implement this condition.  </w:t>
      </w:r>
    </w:p>
    <w:p w14:paraId="135AE9CB" w14:textId="341F61F5" w:rsidR="00AA1D06" w:rsidRPr="00B3740A" w:rsidRDefault="002552D7" w:rsidP="00B3740A">
      <w:pPr>
        <w:pStyle w:val="Heading2"/>
      </w:pPr>
      <w:r w:rsidRPr="002552D7">
        <w:t xml:space="preserve">Party submissions </w:t>
      </w:r>
    </w:p>
    <w:p w14:paraId="2F6065C6" w14:textId="207C98EF" w:rsidR="00FB16CF" w:rsidRDefault="00FB16CF" w:rsidP="00B3740A">
      <w:pPr>
        <w:pStyle w:val="Heading3"/>
      </w:pPr>
      <w:r w:rsidRPr="00E0576E">
        <w:t>Relevant case law</w:t>
      </w:r>
    </w:p>
    <w:p w14:paraId="202D26BC" w14:textId="2A1A63BE" w:rsidR="00FB16CF" w:rsidRDefault="00FB16CF" w:rsidP="00B427B6">
      <w:pPr>
        <w:pStyle w:val="Para1"/>
        <w:tabs>
          <w:tab w:val="clear" w:pos="709"/>
          <w:tab w:val="num" w:pos="567"/>
        </w:tabs>
        <w:ind w:left="567"/>
      </w:pPr>
      <w:r>
        <w:t xml:space="preserve">Both parties relied on similar case law principles </w:t>
      </w:r>
      <w:r w:rsidR="00AA1D06">
        <w:t>in</w:t>
      </w:r>
      <w:r>
        <w:t xml:space="preserve"> this proceeding pertaining to the term “generally in accordance with” a development plan. In summary, these decisions indicate that: </w:t>
      </w:r>
    </w:p>
    <w:p w14:paraId="7F33D0E9" w14:textId="77777777" w:rsidR="00FB16CF" w:rsidRDefault="00FB16CF" w:rsidP="00B427B6">
      <w:pPr>
        <w:pStyle w:val="Para1"/>
        <w:numPr>
          <w:ilvl w:val="0"/>
          <w:numId w:val="23"/>
        </w:numPr>
        <w:ind w:left="1134" w:hanging="567"/>
      </w:pPr>
      <w:r>
        <w:t>general accordance is a question of fact to be judged on the facts of each case;</w:t>
      </w:r>
    </w:p>
    <w:p w14:paraId="01E279F4" w14:textId="77777777" w:rsidR="00FB16CF" w:rsidRDefault="00FB16CF" w:rsidP="00B427B6">
      <w:pPr>
        <w:pStyle w:val="Para1"/>
        <w:numPr>
          <w:ilvl w:val="0"/>
          <w:numId w:val="23"/>
        </w:numPr>
        <w:ind w:left="1134" w:hanging="567"/>
      </w:pPr>
      <w:r>
        <w:t xml:space="preserve">the meaning of this term does not necessitate exact or precise accordance; </w:t>
      </w:r>
    </w:p>
    <w:p w14:paraId="686D2A21" w14:textId="2E74B2BA" w:rsidR="00FB16CF" w:rsidRDefault="00FB16CF" w:rsidP="00B427B6">
      <w:pPr>
        <w:pStyle w:val="Para1"/>
        <w:numPr>
          <w:ilvl w:val="0"/>
          <w:numId w:val="23"/>
        </w:numPr>
        <w:ind w:left="1134" w:hanging="567"/>
      </w:pPr>
      <w:r>
        <w:t xml:space="preserve">the degree of accordance is relative to the type of document and its level of detail.  The less detail and precision in the primary document, the more flexibility is afforded by the term and vice versa; </w:t>
      </w:r>
      <w:r w:rsidR="00530827">
        <w:t>and</w:t>
      </w:r>
    </w:p>
    <w:p w14:paraId="7E737BC6" w14:textId="20F7701B" w:rsidR="00FB16CF" w:rsidRPr="00B427B6" w:rsidRDefault="00FB16CF" w:rsidP="001E5F05">
      <w:pPr>
        <w:pStyle w:val="Para1"/>
        <w:numPr>
          <w:ilvl w:val="0"/>
          <w:numId w:val="23"/>
        </w:numPr>
        <w:ind w:left="1134" w:hanging="567"/>
      </w:pPr>
      <w:r>
        <w:t>the development plan should be read as a whole to discern general accordance.</w:t>
      </w:r>
      <w:r w:rsidR="00AA1D06" w:rsidRPr="00AA1D06">
        <w:rPr>
          <w:rStyle w:val="FootnoteReference"/>
        </w:rPr>
        <w:t xml:space="preserve"> </w:t>
      </w:r>
      <w:r w:rsidR="00AA1D06">
        <w:rPr>
          <w:rStyle w:val="FootnoteReference"/>
        </w:rPr>
        <w:footnoteReference w:id="8"/>
      </w:r>
      <w:r>
        <w:t xml:space="preserve"> </w:t>
      </w:r>
    </w:p>
    <w:p w14:paraId="25AE8523" w14:textId="591464FF" w:rsidR="00E0576E" w:rsidRPr="00E0576E" w:rsidRDefault="00E0576E" w:rsidP="00B3740A">
      <w:pPr>
        <w:pStyle w:val="Heading3"/>
      </w:pPr>
      <w:r w:rsidRPr="00E0576E">
        <w:t>Responsible Authority</w:t>
      </w:r>
    </w:p>
    <w:p w14:paraId="0E763663" w14:textId="4AA2BAC2" w:rsidR="00040ED1" w:rsidRDefault="00FE0B91" w:rsidP="00B427B6">
      <w:pPr>
        <w:pStyle w:val="Para1"/>
        <w:tabs>
          <w:tab w:val="clear" w:pos="709"/>
          <w:tab w:val="num" w:pos="567"/>
        </w:tabs>
        <w:ind w:left="567"/>
      </w:pPr>
      <w:r>
        <w:t xml:space="preserve">The Responsible Authority accepted that the element of the permission sought to create two reserves to vest in Council </w:t>
      </w:r>
      <w:r w:rsidRPr="00FE0B91">
        <w:rPr>
          <w:i/>
          <w:iCs/>
        </w:rPr>
        <w:t>would</w:t>
      </w:r>
      <w:r>
        <w:t xml:space="preserve"> be generally in accordance with the Development Plan.  </w:t>
      </w:r>
      <w:r w:rsidR="00040ED1">
        <w:t xml:space="preserve">It pointed out that a subdivision for </w:t>
      </w:r>
      <w:r w:rsidR="00B203DC">
        <w:rPr>
          <w:noProof/>
        </w:rPr>
        <w:lastRenderedPageBreak/>
        <w:drawing>
          <wp:anchor distT="0" distB="0" distL="114300" distR="114300" simplePos="0" relativeHeight="251663360" behindDoc="1" locked="0" layoutInCell="1" allowOverlap="1" wp14:anchorId="5FE3776C" wp14:editId="3602D259">
            <wp:simplePos x="0" y="0"/>
            <wp:positionH relativeFrom="column">
              <wp:posOffset>5183505</wp:posOffset>
            </wp:positionH>
            <wp:positionV relativeFrom="paragraph">
              <wp:posOffset>8459470</wp:posOffset>
            </wp:positionV>
            <wp:extent cx="1080000" cy="1080000"/>
            <wp:effectExtent l="0" t="0" r="6350" b="6350"/>
            <wp:wrapNone/>
            <wp:docPr id="19" name="VCAT Seal6"/>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40ED1">
        <w:t xml:space="preserve">this purpose could </w:t>
      </w:r>
      <w:r w:rsidR="00AA1D06">
        <w:t xml:space="preserve">have </w:t>
      </w:r>
      <w:r w:rsidR="00040ED1">
        <w:t>be</w:t>
      </w:r>
      <w:r w:rsidR="00AA1D06">
        <w:t>en</w:t>
      </w:r>
      <w:r w:rsidR="00040ED1">
        <w:t xml:space="preserve"> facilitated under the provisions of the </w:t>
      </w:r>
      <w:r w:rsidR="00040ED1" w:rsidRPr="00666D13">
        <w:rPr>
          <w:i/>
          <w:iCs/>
        </w:rPr>
        <w:t>Subdivision Act 1988</w:t>
      </w:r>
      <w:r w:rsidR="00040ED1">
        <w:t xml:space="preserve"> as an alternative to the </w:t>
      </w:r>
      <w:r w:rsidR="00666D13">
        <w:t>current permit application.</w:t>
      </w:r>
      <w:r w:rsidR="00D07777">
        <w:rPr>
          <w:rStyle w:val="FootnoteReference"/>
        </w:rPr>
        <w:footnoteReference w:id="9"/>
      </w:r>
      <w:r w:rsidR="00666D13">
        <w:t xml:space="preserve"> </w:t>
      </w:r>
    </w:p>
    <w:p w14:paraId="44C5CAC5" w14:textId="365D3B25" w:rsidR="003E2565" w:rsidRDefault="00FE0B91" w:rsidP="00B427B6">
      <w:pPr>
        <w:pStyle w:val="Para1"/>
        <w:tabs>
          <w:tab w:val="clear" w:pos="709"/>
          <w:tab w:val="num" w:pos="567"/>
        </w:tabs>
        <w:ind w:left="567"/>
      </w:pPr>
      <w:r>
        <w:t xml:space="preserve">However, </w:t>
      </w:r>
      <w:r w:rsidR="00666D13">
        <w:t xml:space="preserve">the Responsible Authority </w:t>
      </w:r>
      <w:r>
        <w:t xml:space="preserve">submitted that </w:t>
      </w:r>
      <w:r w:rsidR="00A066A7">
        <w:t xml:space="preserve">the component of the application that sought to subdivide the surplus land into a balance lot </w:t>
      </w:r>
      <w:r w:rsidR="009E3700">
        <w:t xml:space="preserve">separate </w:t>
      </w:r>
      <w:r w:rsidR="00AA1D06">
        <w:t xml:space="preserve">from the lot developed for the aged care and retirement facility </w:t>
      </w:r>
      <w:r w:rsidR="00D07777">
        <w:t xml:space="preserve">was premature and </w:t>
      </w:r>
      <w:r w:rsidR="00A066A7" w:rsidRPr="00A066A7">
        <w:rPr>
          <w:i/>
          <w:iCs/>
        </w:rPr>
        <w:t>would not</w:t>
      </w:r>
      <w:r w:rsidR="00A066A7">
        <w:t xml:space="preserve"> be generally in accordance with the Development Plan.</w:t>
      </w:r>
      <w:r w:rsidR="00AA1D06">
        <w:t xml:space="preserve">  </w:t>
      </w:r>
    </w:p>
    <w:p w14:paraId="462E168B" w14:textId="77777777" w:rsidR="00FB16CF" w:rsidRDefault="00D07777" w:rsidP="00B427B6">
      <w:pPr>
        <w:pStyle w:val="Para1"/>
        <w:tabs>
          <w:tab w:val="clear" w:pos="709"/>
          <w:tab w:val="num" w:pos="567"/>
        </w:tabs>
        <w:ind w:left="567"/>
      </w:pPr>
      <w:r>
        <w:t>It emphasised that</w:t>
      </w:r>
      <w:r w:rsidR="00FB16CF">
        <w:t xml:space="preserve">: </w:t>
      </w:r>
    </w:p>
    <w:p w14:paraId="00F04CE9" w14:textId="607B64E4" w:rsidR="00FB16CF" w:rsidRDefault="00027C38" w:rsidP="00B427B6">
      <w:pPr>
        <w:pStyle w:val="Para1"/>
        <w:numPr>
          <w:ilvl w:val="1"/>
          <w:numId w:val="2"/>
        </w:numPr>
        <w:tabs>
          <w:tab w:val="clear" w:pos="1440"/>
          <w:tab w:val="num" w:pos="1134"/>
        </w:tabs>
        <w:ind w:left="1134" w:hanging="567"/>
      </w:pPr>
      <w:r>
        <w:t xml:space="preserve">the </w:t>
      </w:r>
      <w:r w:rsidR="00AA1D06">
        <w:t xml:space="preserve">approved </w:t>
      </w:r>
      <w:r>
        <w:t>Development Plan is a very detailed and relatively precise document</w:t>
      </w:r>
      <w:r w:rsidR="00AA1D06">
        <w:t xml:space="preserve"> yet</w:t>
      </w:r>
      <w:r w:rsidR="008232B4">
        <w:t xml:space="preserve"> is silent on </w:t>
      </w:r>
      <w:r w:rsidR="00AA1D06">
        <w:t xml:space="preserve">the issue of </w:t>
      </w:r>
      <w:r w:rsidR="008232B4">
        <w:t>subdivision</w:t>
      </w:r>
      <w:r>
        <w:t xml:space="preserve">; </w:t>
      </w:r>
    </w:p>
    <w:p w14:paraId="0617A3B4" w14:textId="7919FE58" w:rsidR="00027C38" w:rsidRDefault="00D07777" w:rsidP="00B427B6">
      <w:pPr>
        <w:pStyle w:val="Para1"/>
        <w:numPr>
          <w:ilvl w:val="1"/>
          <w:numId w:val="2"/>
        </w:numPr>
        <w:tabs>
          <w:tab w:val="clear" w:pos="1440"/>
          <w:tab w:val="num" w:pos="1134"/>
        </w:tabs>
        <w:ind w:left="1134" w:hanging="567"/>
      </w:pPr>
      <w:r>
        <w:t xml:space="preserve">the subdivision of the </w:t>
      </w:r>
      <w:r w:rsidR="00691383">
        <w:t>subject land</w:t>
      </w:r>
      <w:r>
        <w:t xml:space="preserve"> was not depicted in the Development Plan</w:t>
      </w:r>
      <w:r w:rsidR="003E2565">
        <w:t xml:space="preserve"> in circumstances where </w:t>
      </w:r>
      <w:r w:rsidR="00E33605">
        <w:t xml:space="preserve">the head </w:t>
      </w:r>
      <w:r w:rsidR="003E2565">
        <w:t xml:space="preserve">Clause 43.04-4 requires the </w:t>
      </w:r>
      <w:r w:rsidR="009E3700">
        <w:t>D</w:t>
      </w:r>
      <w:r w:rsidR="003E2565">
        <w:t xml:space="preserve">evelopment </w:t>
      </w:r>
      <w:r w:rsidR="009E3700">
        <w:t>P</w:t>
      </w:r>
      <w:r w:rsidR="003E2565">
        <w:t>lan to depict the proposed use and development of each part of the land</w:t>
      </w:r>
      <w:r w:rsidR="00027C38">
        <w:t xml:space="preserve">; </w:t>
      </w:r>
    </w:p>
    <w:p w14:paraId="50BAD598" w14:textId="694D1AD2" w:rsidR="00E33605" w:rsidRDefault="00E33605" w:rsidP="00B427B6">
      <w:pPr>
        <w:pStyle w:val="Para1"/>
        <w:numPr>
          <w:ilvl w:val="1"/>
          <w:numId w:val="2"/>
        </w:numPr>
        <w:tabs>
          <w:tab w:val="clear" w:pos="1440"/>
          <w:tab w:val="num" w:pos="1134"/>
        </w:tabs>
        <w:ind w:left="1134" w:hanging="567"/>
      </w:pPr>
      <w:r>
        <w:t xml:space="preserve">the south western part of the </w:t>
      </w:r>
      <w:r w:rsidR="00691383">
        <w:t>subject land</w:t>
      </w:r>
      <w:r>
        <w:t xml:space="preserve"> should be regarded as part and parcel of the singular approved use of retirement village and aged care facility for the whole of the </w:t>
      </w:r>
      <w:r w:rsidR="00691383">
        <w:t>land</w:t>
      </w:r>
      <w:r w:rsidR="00AA1D06">
        <w:t>;</w:t>
      </w:r>
    </w:p>
    <w:p w14:paraId="52BC7AC1" w14:textId="666BEBB8" w:rsidR="008232B4" w:rsidRDefault="00027C38" w:rsidP="00B427B6">
      <w:pPr>
        <w:pStyle w:val="Para1"/>
        <w:numPr>
          <w:ilvl w:val="1"/>
          <w:numId w:val="2"/>
        </w:numPr>
        <w:tabs>
          <w:tab w:val="clear" w:pos="1440"/>
          <w:tab w:val="num" w:pos="1134"/>
        </w:tabs>
        <w:ind w:left="1134" w:hanging="567"/>
      </w:pPr>
      <w:r>
        <w:t>a permit can not be generally in accordance with a plan if the document does not contemplate what the permit proposes</w:t>
      </w:r>
      <w:r w:rsidR="008232B4">
        <w:t>, especially when the head clause requires the form and conditions of future development to be shown; and</w:t>
      </w:r>
    </w:p>
    <w:p w14:paraId="07D33997" w14:textId="4DD34D8A" w:rsidR="008232B4" w:rsidRDefault="008232B4" w:rsidP="00B427B6">
      <w:pPr>
        <w:pStyle w:val="Para1"/>
        <w:numPr>
          <w:ilvl w:val="1"/>
          <w:numId w:val="2"/>
        </w:numPr>
        <w:tabs>
          <w:tab w:val="clear" w:pos="1440"/>
          <w:tab w:val="num" w:pos="1134"/>
        </w:tabs>
        <w:ind w:left="1134" w:hanging="567"/>
      </w:pPr>
      <w:r>
        <w:t xml:space="preserve">general accordance evokes a </w:t>
      </w:r>
      <w:r w:rsidRPr="00027C38">
        <w:rPr>
          <w:i/>
          <w:iCs/>
        </w:rPr>
        <w:t>positive requirement</w:t>
      </w:r>
      <w:r>
        <w:t xml:space="preserve"> rather than being passive in nature. The test is </w:t>
      </w:r>
      <w:r w:rsidRPr="00AA1D06">
        <w:rPr>
          <w:u w:val="single"/>
        </w:rPr>
        <w:t>not</w:t>
      </w:r>
      <w:r>
        <w:t xml:space="preserve"> one of </w:t>
      </w:r>
      <w:r w:rsidR="00AA1D06">
        <w:t xml:space="preserve">a lack of </w:t>
      </w:r>
      <w:r>
        <w:t xml:space="preserve">inconsistency with the Development Plan.  </w:t>
      </w:r>
    </w:p>
    <w:p w14:paraId="0634FDBA" w14:textId="20682966" w:rsidR="00AA1D06" w:rsidRDefault="00A066A7" w:rsidP="00B427B6">
      <w:pPr>
        <w:pStyle w:val="Para1"/>
        <w:tabs>
          <w:tab w:val="clear" w:pos="709"/>
          <w:tab w:val="num" w:pos="567"/>
        </w:tabs>
        <w:ind w:left="567"/>
      </w:pPr>
      <w:r>
        <w:t xml:space="preserve">The Responsible Authority did not appear to take issue with the merits of the subdivision.  Rather, it opposed the </w:t>
      </w:r>
      <w:r w:rsidR="005D3609">
        <w:t xml:space="preserve">lawfulness of the grant </w:t>
      </w:r>
      <w:r w:rsidR="00530827">
        <w:t xml:space="preserve">of </w:t>
      </w:r>
      <w:r w:rsidR="005D3609">
        <w:t xml:space="preserve">a permit in circumstances where not all elements of the </w:t>
      </w:r>
      <w:r w:rsidR="00AA1D06">
        <w:t xml:space="preserve">proposed </w:t>
      </w:r>
      <w:r w:rsidR="005D3609">
        <w:t xml:space="preserve">subdivision would be generally in accordance with the approved Development Plan.  </w:t>
      </w:r>
    </w:p>
    <w:p w14:paraId="1B1EC21C" w14:textId="2D72BCBD" w:rsidR="005D3609" w:rsidRDefault="00B67D06" w:rsidP="00B427B6">
      <w:pPr>
        <w:pStyle w:val="Para1"/>
        <w:tabs>
          <w:tab w:val="clear" w:pos="709"/>
          <w:tab w:val="num" w:pos="567"/>
        </w:tabs>
        <w:ind w:left="567"/>
      </w:pPr>
      <w:r>
        <w:t xml:space="preserve">The Responsible Authority was also concerned that it would not represent orderly planning to allow the subdivision of the remainder of the </w:t>
      </w:r>
      <w:r w:rsidR="00691383">
        <w:t>subject land</w:t>
      </w:r>
      <w:r>
        <w:t xml:space="preserve"> without identifying its future use or development, especially given the absence of third party rights in the planning scheme.  </w:t>
      </w:r>
    </w:p>
    <w:p w14:paraId="5DDE9838" w14:textId="0E83FF22" w:rsidR="00A066A7" w:rsidRDefault="005D3609" w:rsidP="00B427B6">
      <w:pPr>
        <w:pStyle w:val="Para1"/>
        <w:tabs>
          <w:tab w:val="clear" w:pos="709"/>
          <w:tab w:val="num" w:pos="567"/>
        </w:tabs>
        <w:ind w:left="567"/>
      </w:pPr>
      <w:r>
        <w:t>It</w:t>
      </w:r>
      <w:r w:rsidR="00A066A7">
        <w:t xml:space="preserve"> submitted that the appropriate </w:t>
      </w:r>
      <w:r>
        <w:t>course of action would be</w:t>
      </w:r>
      <w:r w:rsidR="00666D13">
        <w:t xml:space="preserve"> for the Applicant to apply</w:t>
      </w:r>
      <w:r>
        <w:t xml:space="preserve"> to amend the </w:t>
      </w:r>
      <w:r w:rsidR="00666D13">
        <w:t xml:space="preserve">approved Development Plan to depict the proposed </w:t>
      </w:r>
      <w:r w:rsidR="00AA1D06">
        <w:t xml:space="preserve">use and development (including </w:t>
      </w:r>
      <w:r w:rsidR="00666D13">
        <w:t>subdivision</w:t>
      </w:r>
      <w:r w:rsidR="00AA1D06">
        <w:t>)</w:t>
      </w:r>
      <w:r w:rsidR="00666D13">
        <w:t xml:space="preserve"> of the surplus land.  </w:t>
      </w:r>
      <w:r w:rsidR="00E0576E">
        <w:t xml:space="preserve">Permission could then be pursued for </w:t>
      </w:r>
      <w:r w:rsidR="00915C9A">
        <w:t>the two lot subdivision</w:t>
      </w:r>
      <w:r w:rsidR="00AA1D06">
        <w:t xml:space="preserve"> generally in accordance with that plan</w:t>
      </w:r>
      <w:r w:rsidR="00E0576E">
        <w:t xml:space="preserve">.  </w:t>
      </w:r>
    </w:p>
    <w:p w14:paraId="38F00028" w14:textId="02735619" w:rsidR="00E0576E" w:rsidRDefault="00B203DC" w:rsidP="00B3740A">
      <w:pPr>
        <w:pStyle w:val="Heading3"/>
      </w:pPr>
      <w:r>
        <w:rPr>
          <w:noProof/>
        </w:rPr>
        <w:lastRenderedPageBreak/>
        <w:drawing>
          <wp:anchor distT="0" distB="0" distL="114300" distR="114300" simplePos="0" relativeHeight="251664384" behindDoc="1" locked="0" layoutInCell="1" allowOverlap="1" wp14:anchorId="1DBABEB9" wp14:editId="7C1E35B6">
            <wp:simplePos x="0" y="0"/>
            <wp:positionH relativeFrom="column">
              <wp:posOffset>5183505</wp:posOffset>
            </wp:positionH>
            <wp:positionV relativeFrom="paragraph">
              <wp:posOffset>8459470</wp:posOffset>
            </wp:positionV>
            <wp:extent cx="1080000" cy="1080000"/>
            <wp:effectExtent l="0" t="0" r="6350" b="6350"/>
            <wp:wrapNone/>
            <wp:docPr id="20" name="VCAT Seal7"/>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0576E" w:rsidRPr="00E0576E">
        <w:t>Applicant</w:t>
      </w:r>
    </w:p>
    <w:p w14:paraId="6347D25A" w14:textId="02B15922" w:rsidR="00494EC0" w:rsidRDefault="00137DD4" w:rsidP="00B427B6">
      <w:pPr>
        <w:pStyle w:val="Para1"/>
        <w:tabs>
          <w:tab w:val="clear" w:pos="709"/>
          <w:tab w:val="num" w:pos="567"/>
        </w:tabs>
        <w:ind w:left="567"/>
      </w:pPr>
      <w:r>
        <w:t xml:space="preserve">The Applicant conceded that the Development Plan does not expressly depict proposed subdivision in any form. </w:t>
      </w:r>
      <w:r w:rsidR="00494EC0">
        <w:t xml:space="preserve">However, it submitted that it is difficult to reconcile condition 6 of the development permit with </w:t>
      </w:r>
      <w:r w:rsidR="00D21181">
        <w:t>the Responsible Authority</w:t>
      </w:r>
      <w:r w:rsidR="00494EC0">
        <w:t>’</w:t>
      </w:r>
      <w:r w:rsidR="00AA1D06">
        <w:t>s</w:t>
      </w:r>
      <w:r w:rsidR="00494EC0">
        <w:t xml:space="preserve"> submission that the Development Plan “does not contemplate subdivision of the Subject Land”. </w:t>
      </w:r>
    </w:p>
    <w:p w14:paraId="1D72E028" w14:textId="3BF4C9E4" w:rsidR="00AA1D06" w:rsidRDefault="00137DD4" w:rsidP="002234F4">
      <w:pPr>
        <w:pStyle w:val="Para1"/>
        <w:tabs>
          <w:tab w:val="clear" w:pos="709"/>
          <w:tab w:val="num" w:pos="567"/>
        </w:tabs>
        <w:ind w:left="567"/>
      </w:pPr>
      <w:r>
        <w:t xml:space="preserve">Notwithstanding, </w:t>
      </w:r>
      <w:r w:rsidR="00494EC0">
        <w:t>the Applicant</w:t>
      </w:r>
      <w:r>
        <w:t xml:space="preserve"> submitted that it was clear</w:t>
      </w:r>
      <w:r w:rsidR="00494EC0">
        <w:t xml:space="preserve"> from the Development Plan</w:t>
      </w:r>
      <w:r>
        <w:t xml:space="preserve"> that the surplus land was to be treated differently from the balance of the </w:t>
      </w:r>
      <w:r w:rsidR="00691383">
        <w:t>subject land</w:t>
      </w:r>
      <w:r>
        <w:t xml:space="preserve"> to be developed.  </w:t>
      </w:r>
      <w:r w:rsidR="00AA1D06">
        <w:t xml:space="preserve">The Applicant acknowledged that the Development Plan contains a ‘reasonable amount of detail’ in relation to the retirement village and residential aged care developments on the northern part of the land but contrasted this with the “little to no detail” regarding the surplus land. </w:t>
      </w:r>
    </w:p>
    <w:p w14:paraId="64876281" w14:textId="22FEA0FD" w:rsidR="00E0576E" w:rsidRDefault="00137DD4" w:rsidP="00B427B6">
      <w:pPr>
        <w:pStyle w:val="Para1"/>
        <w:tabs>
          <w:tab w:val="clear" w:pos="709"/>
          <w:tab w:val="num" w:pos="567"/>
        </w:tabs>
        <w:ind w:left="567"/>
      </w:pPr>
      <w:r>
        <w:t xml:space="preserve">It emphasised that the subdivision would not of itself effect any change to any key features of the Development Plan. </w:t>
      </w:r>
      <w:r w:rsidR="00494EC0">
        <w:t xml:space="preserve">It also considered that “the approval of the Permit Application would bear a direct, almost identical, resemblance to the key features of the Development Plan”. </w:t>
      </w:r>
    </w:p>
    <w:p w14:paraId="048A8B78" w14:textId="4EAE9C5B" w:rsidR="00137DD4" w:rsidRDefault="00137DD4" w:rsidP="00B427B6">
      <w:pPr>
        <w:pStyle w:val="Para1"/>
        <w:tabs>
          <w:tab w:val="clear" w:pos="709"/>
          <w:tab w:val="num" w:pos="567"/>
        </w:tabs>
        <w:ind w:left="567"/>
      </w:pPr>
      <w:r>
        <w:t xml:space="preserve">The Applicant </w:t>
      </w:r>
      <w:r w:rsidR="00494EC0">
        <w:t>submitted</w:t>
      </w:r>
      <w:r w:rsidR="00C7314F">
        <w:t xml:space="preserve"> that whether th</w:t>
      </w:r>
      <w:r w:rsidR="00691383">
        <w:t>e subject</w:t>
      </w:r>
      <w:r w:rsidR="00C7314F">
        <w:t xml:space="preserve"> land is subdivided or remains in one title has no impact on the proposed function of th</w:t>
      </w:r>
      <w:r w:rsidR="00AA1D06">
        <w:t>e</w:t>
      </w:r>
      <w:r w:rsidR="00C7314F">
        <w:t xml:space="preserve"> land based on the Development Plan in its current form.  It </w:t>
      </w:r>
      <w:r>
        <w:t xml:space="preserve">further submitted that the subdivision to create a balance lot on its own title would not prejudice third parties since any change to the future use or development of this land would need to be shown in an amended Development Plan to be approved by </w:t>
      </w:r>
      <w:r w:rsidR="00D21181">
        <w:t>the Responsible Authority</w:t>
      </w:r>
      <w:r>
        <w:t>.</w:t>
      </w:r>
      <w:r w:rsidR="00C7314F">
        <w:t xml:space="preserve">  </w:t>
      </w:r>
      <w:r>
        <w:t xml:space="preserve">  </w:t>
      </w:r>
    </w:p>
    <w:p w14:paraId="721D6DDF" w14:textId="2B91EA7F" w:rsidR="002552D7" w:rsidRDefault="002552D7" w:rsidP="00B3740A">
      <w:pPr>
        <w:pStyle w:val="Heading2"/>
      </w:pPr>
      <w:r w:rsidRPr="002552D7">
        <w:t xml:space="preserve">Tribunal discussion </w:t>
      </w:r>
    </w:p>
    <w:p w14:paraId="17DDD9CA" w14:textId="76CA0506" w:rsidR="002552D7" w:rsidRDefault="002552D7" w:rsidP="00B427B6">
      <w:pPr>
        <w:pStyle w:val="Para1"/>
        <w:tabs>
          <w:tab w:val="clear" w:pos="709"/>
          <w:tab w:val="num" w:pos="567"/>
        </w:tabs>
        <w:ind w:left="567"/>
      </w:pPr>
      <w:r>
        <w:t xml:space="preserve">The Tribunal accepts the </w:t>
      </w:r>
      <w:r w:rsidR="00EB5D67">
        <w:t xml:space="preserve">case law principles outlined by both parties </w:t>
      </w:r>
      <w:r w:rsidR="00AA1D06">
        <w:t xml:space="preserve">as </w:t>
      </w:r>
      <w:r w:rsidR="00EB5D67">
        <w:t>current and applicable to this application.</w:t>
      </w:r>
      <w:r w:rsidR="00D545CF">
        <w:t xml:space="preserve">   </w:t>
      </w:r>
      <w:r w:rsidR="00EB5D67">
        <w:t>The question is how the</w:t>
      </w:r>
      <w:r w:rsidR="00EC4BC1">
        <w:t>se principles</w:t>
      </w:r>
      <w:r w:rsidR="00EB5D67">
        <w:t xml:space="preserve"> should be applied in practice to the facts in this proceeding having regard to the </w:t>
      </w:r>
      <w:r w:rsidR="00EC4BC1">
        <w:t xml:space="preserve">nature of the approved Development Plan and the permission sought.  </w:t>
      </w:r>
    </w:p>
    <w:p w14:paraId="3261AD2C" w14:textId="520CD28E" w:rsidR="00EB5D67" w:rsidRDefault="00323EEA" w:rsidP="00B3740A">
      <w:pPr>
        <w:pStyle w:val="Heading3"/>
      </w:pPr>
      <w:r w:rsidRPr="00323EEA">
        <w:t>Subdivision to create two reserves</w:t>
      </w:r>
    </w:p>
    <w:p w14:paraId="6E936E1B" w14:textId="5382EC97" w:rsidR="00323EEA" w:rsidRDefault="00323EEA" w:rsidP="00B427B6">
      <w:pPr>
        <w:pStyle w:val="Para1"/>
        <w:tabs>
          <w:tab w:val="clear" w:pos="709"/>
          <w:tab w:val="num" w:pos="567"/>
        </w:tabs>
        <w:ind w:left="567"/>
      </w:pPr>
      <w:r>
        <w:t>The Applicant submitted and the Responsible Authority accepted that a subdivision for th</w:t>
      </w:r>
      <w:r w:rsidR="0027563D">
        <w:t xml:space="preserve">e purpose of creating two reserves </w:t>
      </w:r>
      <w:r>
        <w:t xml:space="preserve">would be generally in accordance with the approved Development Plan.  </w:t>
      </w:r>
    </w:p>
    <w:p w14:paraId="50F67F6E" w14:textId="68D9F756" w:rsidR="00323EEA" w:rsidRDefault="00323EEA" w:rsidP="00B427B6">
      <w:pPr>
        <w:pStyle w:val="Para1"/>
        <w:tabs>
          <w:tab w:val="clear" w:pos="709"/>
          <w:tab w:val="num" w:pos="567"/>
        </w:tabs>
        <w:ind w:left="567"/>
      </w:pPr>
      <w:r>
        <w:t>The Tribunal agrees. The Development Plan is pre</w:t>
      </w:r>
      <w:r w:rsidR="00F30C83">
        <w:t>mised</w:t>
      </w:r>
      <w:r>
        <w:t xml:space="preserve"> on</w:t>
      </w:r>
      <w:r w:rsidR="00B36A06">
        <w:t xml:space="preserve"> a 16.4% public open space contribution</w:t>
      </w:r>
      <w:r w:rsidR="00C02E98">
        <w:t>, to be given effect to by subdivision</w:t>
      </w:r>
      <w:r w:rsidR="00B36A06">
        <w:t xml:space="preserve">.  It would be </w:t>
      </w:r>
      <w:r w:rsidR="00C02E98">
        <w:t>facilitated</w:t>
      </w:r>
      <w:r w:rsidR="00B36A06">
        <w:t xml:space="preserve"> by the </w:t>
      </w:r>
      <w:r w:rsidR="00377563">
        <w:t xml:space="preserve">permit </w:t>
      </w:r>
      <w:r w:rsidR="00B36A06">
        <w:t>condi</w:t>
      </w:r>
      <w:r>
        <w:t xml:space="preserve">tion </w:t>
      </w:r>
      <w:r w:rsidR="00C02E98">
        <w:t xml:space="preserve">requiring the two reserves to vest in </w:t>
      </w:r>
      <w:r>
        <w:t xml:space="preserve">Council.  </w:t>
      </w:r>
    </w:p>
    <w:p w14:paraId="003E20B6" w14:textId="25D96039" w:rsidR="00F30C83" w:rsidRDefault="00F30C83" w:rsidP="00B427B6">
      <w:pPr>
        <w:pStyle w:val="Para1"/>
        <w:tabs>
          <w:tab w:val="clear" w:pos="709"/>
          <w:tab w:val="num" w:pos="567"/>
        </w:tabs>
        <w:ind w:left="567"/>
      </w:pPr>
      <w:r>
        <w:t>It appears that both the boundaries and purpose</w:t>
      </w:r>
      <w:r w:rsidR="007615E0">
        <w:t>s</w:t>
      </w:r>
      <w:r>
        <w:t xml:space="preserve"> of the land identified for the two reserves generally reflect (if not replicate) the mapping in the approved Development Plan.  </w:t>
      </w:r>
    </w:p>
    <w:p w14:paraId="316C1222" w14:textId="3D0B9C93" w:rsidR="00CB502A" w:rsidRDefault="00B203DC" w:rsidP="007615E0">
      <w:pPr>
        <w:pStyle w:val="Para1"/>
        <w:tabs>
          <w:tab w:val="clear" w:pos="709"/>
          <w:tab w:val="num" w:pos="567"/>
        </w:tabs>
        <w:ind w:left="567"/>
      </w:pPr>
      <w:r>
        <w:rPr>
          <w:noProof/>
        </w:rPr>
        <w:lastRenderedPageBreak/>
        <w:drawing>
          <wp:anchor distT="0" distB="0" distL="114300" distR="114300" simplePos="0" relativeHeight="251665408" behindDoc="1" locked="0" layoutInCell="1" allowOverlap="1" wp14:anchorId="01829AF5" wp14:editId="2E721CD1">
            <wp:simplePos x="0" y="0"/>
            <wp:positionH relativeFrom="column">
              <wp:posOffset>5183505</wp:posOffset>
            </wp:positionH>
            <wp:positionV relativeFrom="paragraph">
              <wp:posOffset>8459470</wp:posOffset>
            </wp:positionV>
            <wp:extent cx="1080000" cy="1080000"/>
            <wp:effectExtent l="0" t="0" r="6350" b="6350"/>
            <wp:wrapNone/>
            <wp:docPr id="21" name="VCAT Seal8"/>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B502A">
        <w:t xml:space="preserve">There are positive community benefits as well as integrated site outcomes </w:t>
      </w:r>
      <w:r w:rsidR="00FF685A">
        <w:t xml:space="preserve">that would be achieved by subdividing </w:t>
      </w:r>
      <w:r w:rsidR="00CB502A">
        <w:t xml:space="preserve">the reserves </w:t>
      </w:r>
      <w:r w:rsidR="00FF685A">
        <w:t xml:space="preserve">and </w:t>
      </w:r>
      <w:r w:rsidR="00CB502A">
        <w:t xml:space="preserve">vesting </w:t>
      </w:r>
      <w:r w:rsidR="00FF685A">
        <w:t xml:space="preserve">them </w:t>
      </w:r>
      <w:r w:rsidR="00CB502A">
        <w:t xml:space="preserve">in Council </w:t>
      </w:r>
      <w:r w:rsidR="00FF685A">
        <w:t xml:space="preserve">(which is an automatic outcome upon registration by operation of the </w:t>
      </w:r>
      <w:r w:rsidR="00FF685A" w:rsidRPr="00AE4F13">
        <w:rPr>
          <w:i/>
          <w:iCs/>
        </w:rPr>
        <w:t>Subdivision Act 1988</w:t>
      </w:r>
      <w:r w:rsidR="00FF685A">
        <w:t xml:space="preserve">).   These considerations </w:t>
      </w:r>
      <w:r w:rsidR="00CB502A">
        <w:t>warrant</w:t>
      </w:r>
      <w:r w:rsidR="00FF685A">
        <w:t xml:space="preserve"> support for the planning </w:t>
      </w:r>
      <w:r w:rsidR="00B23925">
        <w:t xml:space="preserve">merits of this aspect of the subdivision. </w:t>
      </w:r>
      <w:r w:rsidR="00CB502A">
        <w:t xml:space="preserve"> </w:t>
      </w:r>
    </w:p>
    <w:p w14:paraId="1F61CF44" w14:textId="7EB609A5" w:rsidR="00323EEA" w:rsidRDefault="00323EEA" w:rsidP="00B3740A">
      <w:pPr>
        <w:pStyle w:val="Heading3"/>
      </w:pPr>
      <w:r>
        <w:t>Subdivision of the ‘surplus land’</w:t>
      </w:r>
    </w:p>
    <w:p w14:paraId="23C70FDC" w14:textId="00607F33" w:rsidR="00B31F5F" w:rsidRDefault="00B31F5F" w:rsidP="007615E0">
      <w:pPr>
        <w:pStyle w:val="Para1"/>
        <w:tabs>
          <w:tab w:val="clear" w:pos="709"/>
          <w:tab w:val="num" w:pos="567"/>
        </w:tabs>
        <w:ind w:left="567"/>
      </w:pPr>
      <w:r>
        <w:t xml:space="preserve">It is clear from the Development Plan Overlay applying to the subject land that subdivision was contemplated as a potential element of the future development of the land.  Similarly, the provisions of Schedule 4 </w:t>
      </w:r>
      <w:r w:rsidR="00A02954">
        <w:t xml:space="preserve">of that overlay </w:t>
      </w:r>
      <w:r>
        <w:t xml:space="preserve">would expressly permit subdivision </w:t>
      </w:r>
      <w:r w:rsidRPr="00D4487E">
        <w:t>of the</w:t>
      </w:r>
      <w:r w:rsidR="00691383">
        <w:t xml:space="preserve"> subject</w:t>
      </w:r>
      <w:r w:rsidRPr="00D4487E">
        <w:t xml:space="preserve"> land into </w:t>
      </w:r>
      <w:r>
        <w:t>‘</w:t>
      </w:r>
      <w:r w:rsidRPr="00D4487E">
        <w:t>superlots</w:t>
      </w:r>
      <w:r>
        <w:t>’</w:t>
      </w:r>
      <w:r w:rsidRPr="00D4487E">
        <w:t xml:space="preserve"> or to realign property boundaries or create a road</w:t>
      </w:r>
      <w:r>
        <w:t xml:space="preserve"> </w:t>
      </w:r>
      <w:r w:rsidRPr="00D4487E">
        <w:t xml:space="preserve">or create or remove easements, even </w:t>
      </w:r>
      <w:r w:rsidRPr="00D4487E">
        <w:rPr>
          <w:i/>
          <w:iCs/>
        </w:rPr>
        <w:t>before</w:t>
      </w:r>
      <w:r w:rsidRPr="00D4487E">
        <w:t xml:space="preserve"> a Development Plan was approved. </w:t>
      </w:r>
    </w:p>
    <w:p w14:paraId="3CA9B41D" w14:textId="465D2A6B" w:rsidR="00B31F5F" w:rsidRDefault="00A46DD9" w:rsidP="007F3F16">
      <w:pPr>
        <w:pStyle w:val="Para1"/>
        <w:tabs>
          <w:tab w:val="clear" w:pos="709"/>
          <w:tab w:val="num" w:pos="567"/>
        </w:tabs>
        <w:ind w:left="567"/>
      </w:pPr>
      <w:r>
        <w:t xml:space="preserve">Still, </w:t>
      </w:r>
      <w:r w:rsidR="00B31F5F">
        <w:t>t</w:t>
      </w:r>
      <w:r w:rsidR="00050E29">
        <w:t xml:space="preserve">he Tribunal acknowledges that there is nothing explicit in the approved Development Plan that depicts the subdivision of this land </w:t>
      </w:r>
      <w:r w:rsidR="00F27809">
        <w:t>o</w:t>
      </w:r>
      <w:r w:rsidR="00050E29">
        <w:t xml:space="preserve">nto its own title.  </w:t>
      </w:r>
      <w:r w:rsidR="00B31F5F">
        <w:t xml:space="preserve">While this may be required for a finding of “accordance” with the Development Plan, case law demonstrates that “general accordance” is a </w:t>
      </w:r>
      <w:r>
        <w:t xml:space="preserve">potentially </w:t>
      </w:r>
      <w:r w:rsidR="00B31F5F">
        <w:t>more flexible concept</w:t>
      </w:r>
      <w:r w:rsidR="00F27809">
        <w:t xml:space="preserve"> based on context</w:t>
      </w:r>
      <w:r w:rsidR="00B31F5F">
        <w:t xml:space="preserve">.  </w:t>
      </w:r>
    </w:p>
    <w:p w14:paraId="29DE463A" w14:textId="1BAE07C7" w:rsidR="007B402C" w:rsidRDefault="00B31F5F" w:rsidP="00B427B6">
      <w:pPr>
        <w:pStyle w:val="Para1"/>
        <w:tabs>
          <w:tab w:val="clear" w:pos="709"/>
          <w:tab w:val="num" w:pos="567"/>
        </w:tabs>
        <w:ind w:left="567"/>
      </w:pPr>
      <w:r>
        <w:t>T</w:t>
      </w:r>
      <w:r w:rsidR="007B402C">
        <w:t>he Development plan clearly delineates between</w:t>
      </w:r>
      <w:r w:rsidR="00EA40A3">
        <w:t xml:space="preserve"> the following </w:t>
      </w:r>
      <w:r w:rsidR="00334E1E">
        <w:t>in terms of both form and function</w:t>
      </w:r>
      <w:r w:rsidR="007B402C">
        <w:t>:</w:t>
      </w:r>
    </w:p>
    <w:p w14:paraId="4F38E14E" w14:textId="3F2D5C60" w:rsidR="007B402C" w:rsidRDefault="007B402C" w:rsidP="00B427B6">
      <w:pPr>
        <w:pStyle w:val="Para1"/>
        <w:numPr>
          <w:ilvl w:val="1"/>
          <w:numId w:val="2"/>
        </w:numPr>
        <w:tabs>
          <w:tab w:val="clear" w:pos="1440"/>
          <w:tab w:val="num" w:pos="1276"/>
        </w:tabs>
        <w:ind w:left="1134" w:hanging="567"/>
      </w:pPr>
      <w:r>
        <w:t xml:space="preserve">the northern part of the </w:t>
      </w:r>
      <w:r w:rsidR="00691383">
        <w:t>subject land</w:t>
      </w:r>
      <w:r>
        <w:t xml:space="preserve"> to be developed for the retirement village and aged care residential facility;</w:t>
      </w:r>
    </w:p>
    <w:p w14:paraId="54285D0E" w14:textId="77777777" w:rsidR="007B402C" w:rsidRDefault="007B402C" w:rsidP="00B427B6">
      <w:pPr>
        <w:pStyle w:val="Para1"/>
        <w:numPr>
          <w:ilvl w:val="1"/>
          <w:numId w:val="2"/>
        </w:numPr>
        <w:tabs>
          <w:tab w:val="clear" w:pos="1440"/>
          <w:tab w:val="num" w:pos="1276"/>
        </w:tabs>
        <w:ind w:left="1134" w:hanging="567"/>
      </w:pPr>
      <w:r>
        <w:t>the east-west link and community park reserve;</w:t>
      </w:r>
    </w:p>
    <w:p w14:paraId="2B86B542" w14:textId="77777777" w:rsidR="007B402C" w:rsidRDefault="007B402C" w:rsidP="00B427B6">
      <w:pPr>
        <w:pStyle w:val="Para1"/>
        <w:numPr>
          <w:ilvl w:val="1"/>
          <w:numId w:val="2"/>
        </w:numPr>
        <w:tabs>
          <w:tab w:val="clear" w:pos="1440"/>
          <w:tab w:val="num" w:pos="1276"/>
        </w:tabs>
        <w:ind w:left="1134" w:hanging="567"/>
      </w:pPr>
      <w:r>
        <w:t xml:space="preserve">the treed open space reserve in the north western corner; and </w:t>
      </w:r>
    </w:p>
    <w:p w14:paraId="09415172" w14:textId="1D3962B0" w:rsidR="007B402C" w:rsidRDefault="007B402C" w:rsidP="00B427B6">
      <w:pPr>
        <w:pStyle w:val="Para1"/>
        <w:numPr>
          <w:ilvl w:val="1"/>
          <w:numId w:val="2"/>
        </w:numPr>
        <w:tabs>
          <w:tab w:val="clear" w:pos="1440"/>
          <w:tab w:val="num" w:pos="1276"/>
        </w:tabs>
        <w:ind w:left="1134" w:hanging="567"/>
      </w:pPr>
      <w:r>
        <w:t xml:space="preserve">the surplus land. </w:t>
      </w:r>
    </w:p>
    <w:p w14:paraId="57E16AE4" w14:textId="36B7AA52" w:rsidR="00155B27" w:rsidRDefault="00155B27" w:rsidP="00B427B6">
      <w:pPr>
        <w:pStyle w:val="Para1"/>
        <w:tabs>
          <w:tab w:val="clear" w:pos="709"/>
          <w:tab w:val="num" w:pos="567"/>
        </w:tabs>
        <w:ind w:left="567"/>
      </w:pPr>
      <w:r>
        <w:t xml:space="preserve">While the Development Plan descends into great detail in respect of development and land use on the northern part of the </w:t>
      </w:r>
      <w:r w:rsidR="00691383">
        <w:t>subject land</w:t>
      </w:r>
      <w:r>
        <w:t xml:space="preserve">, it is relevant that there is a stark distinction in the way it treats the surplus land.  No detail is provided in any form to indicate its future use or development, other than commentary about the need to protect identified existing trees on that part of the land. </w:t>
      </w:r>
    </w:p>
    <w:p w14:paraId="70E31322" w14:textId="1AD48C1B" w:rsidR="00334E1E" w:rsidRDefault="00155B27" w:rsidP="00B427B6">
      <w:pPr>
        <w:pStyle w:val="Para1"/>
        <w:tabs>
          <w:tab w:val="clear" w:pos="709"/>
          <w:tab w:val="num" w:pos="567"/>
        </w:tabs>
        <w:ind w:left="567"/>
      </w:pPr>
      <w:r>
        <w:t xml:space="preserve">The Tribunal does not accept the Responsible Authority’s in principle submission that something needs to be expressly included in a development plan for general accordance to be demonstrated (in this instance, subdivision). </w:t>
      </w:r>
      <w:r w:rsidR="00567258">
        <w:t xml:space="preserve"> </w:t>
      </w:r>
    </w:p>
    <w:p w14:paraId="79E5CF1B" w14:textId="1F3E3585" w:rsidR="00155B27" w:rsidRDefault="00155B27" w:rsidP="00B427B6">
      <w:pPr>
        <w:pStyle w:val="Para1"/>
        <w:tabs>
          <w:tab w:val="clear" w:pos="709"/>
          <w:tab w:val="num" w:pos="567"/>
        </w:tabs>
        <w:ind w:left="567"/>
      </w:pPr>
      <w:r>
        <w:t>Th</w:t>
      </w:r>
      <w:r w:rsidR="00B739D2">
        <w:t>is</w:t>
      </w:r>
      <w:r>
        <w:t xml:space="preserve"> much is clear from decisions of former Deputy President Gibson in </w:t>
      </w:r>
      <w:r>
        <w:rPr>
          <w:i/>
        </w:rPr>
        <w:t>Java Sands Pty Ltd v Frankston CC</w:t>
      </w:r>
      <w:r>
        <w:rPr>
          <w:rStyle w:val="FootnoteReference"/>
          <w:i/>
        </w:rPr>
        <w:footnoteReference w:id="10"/>
      </w:r>
      <w:r>
        <w:rPr>
          <w:i/>
        </w:rPr>
        <w:t xml:space="preserve"> </w:t>
      </w:r>
      <w:r>
        <w:t xml:space="preserve">and </w:t>
      </w:r>
      <w:r w:rsidRPr="00155B27">
        <w:rPr>
          <w:i/>
          <w:iCs/>
        </w:rPr>
        <w:t>Amber Vision PL v Wyndham CC</w:t>
      </w:r>
      <w:r>
        <w:rPr>
          <w:rStyle w:val="FootnoteReference"/>
          <w:i/>
          <w:iCs/>
        </w:rPr>
        <w:footnoteReference w:id="11"/>
      </w:r>
      <w:r>
        <w:t xml:space="preserve"> </w:t>
      </w:r>
      <w:r w:rsidR="00B3740A">
        <w:t xml:space="preserve">where she found that a child care centre would be generally in accordance with a </w:t>
      </w:r>
      <w:r w:rsidR="00640601">
        <w:t>d</w:t>
      </w:r>
      <w:r w:rsidR="00B3740A">
        <w:t xml:space="preserve">evelopment </w:t>
      </w:r>
      <w:r w:rsidR="00640601">
        <w:t>p</w:t>
      </w:r>
      <w:r w:rsidR="00B3740A">
        <w:t xml:space="preserve">lan in an area identified as residential but </w:t>
      </w:r>
      <w:r w:rsidR="00B203DC">
        <w:rPr>
          <w:noProof/>
        </w:rPr>
        <w:lastRenderedPageBreak/>
        <w:drawing>
          <wp:anchor distT="0" distB="0" distL="114300" distR="114300" simplePos="0" relativeHeight="251666432" behindDoc="1" locked="0" layoutInCell="1" allowOverlap="1" wp14:anchorId="3097F8F9" wp14:editId="1D176439">
            <wp:simplePos x="0" y="0"/>
            <wp:positionH relativeFrom="column">
              <wp:posOffset>5183505</wp:posOffset>
            </wp:positionH>
            <wp:positionV relativeFrom="paragraph">
              <wp:posOffset>8459470</wp:posOffset>
            </wp:positionV>
            <wp:extent cx="1080000" cy="1080000"/>
            <wp:effectExtent l="0" t="0" r="6350" b="6350"/>
            <wp:wrapNone/>
            <wp:docPr id="22" name="VCAT Seal9"/>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3740A">
        <w:t xml:space="preserve">not expressly </w:t>
      </w:r>
      <w:r w:rsidR="00EA40A3">
        <w:t xml:space="preserve">designated </w:t>
      </w:r>
      <w:r w:rsidR="00B3740A">
        <w:t xml:space="preserve">for a child care centre.  In </w:t>
      </w:r>
      <w:r w:rsidR="00B3740A" w:rsidRPr="00063214">
        <w:rPr>
          <w:i/>
          <w:iCs/>
        </w:rPr>
        <w:t>Java Sands</w:t>
      </w:r>
      <w:r w:rsidR="00B3740A">
        <w:t xml:space="preserve">, Deputy President Gibson </w:t>
      </w:r>
      <w:r w:rsidR="00EA40A3">
        <w:t>concluded</w:t>
      </w:r>
      <w:r w:rsidR="00B3740A">
        <w:t xml:space="preserve">: </w:t>
      </w:r>
    </w:p>
    <w:p w14:paraId="06F5A2C3" w14:textId="62FA9A42" w:rsidR="00B85BBD" w:rsidRDefault="00B3740A" w:rsidP="00B427B6">
      <w:pPr>
        <w:pStyle w:val="Quote2"/>
      </w:pPr>
      <w:r w:rsidRPr="00B3740A">
        <w:t>24.</w:t>
      </w:r>
      <w:r>
        <w:tab/>
      </w:r>
      <w:r w:rsidRPr="00B3740A">
        <w:t>I do not consider that the identification of sites for schools, pre-schools and infant welfare centres is relevant to a consideration of where commercial child care centres may be established.  I consider that commercial child care centres fall into a different category of use and the approved development plan simply does not descend to this level of detail.</w:t>
      </w:r>
    </w:p>
    <w:p w14:paraId="51908185" w14:textId="77777777" w:rsidR="00B31F5F" w:rsidRDefault="00B85BBD" w:rsidP="00B427B6">
      <w:pPr>
        <w:pStyle w:val="Para1"/>
        <w:tabs>
          <w:tab w:val="clear" w:pos="709"/>
          <w:tab w:val="num" w:pos="567"/>
        </w:tabs>
        <w:ind w:left="567"/>
      </w:pPr>
      <w:r>
        <w:t>In both th</w:t>
      </w:r>
      <w:r w:rsidR="00B31F5F">
        <w:t>o</w:t>
      </w:r>
      <w:r>
        <w:t xml:space="preserve">se cases, the Tribunal’s findings were predicated on the fact that the Development Plan did not provide specific directions to the contrary.  </w:t>
      </w:r>
    </w:p>
    <w:p w14:paraId="1E2A343F" w14:textId="5BF83425" w:rsidR="00B85BBD" w:rsidRDefault="00B31F5F" w:rsidP="00B427B6">
      <w:pPr>
        <w:pStyle w:val="Para1"/>
        <w:tabs>
          <w:tab w:val="clear" w:pos="709"/>
          <w:tab w:val="num" w:pos="567"/>
        </w:tabs>
        <w:ind w:left="567"/>
      </w:pPr>
      <w:r>
        <w:t>Likewise, t</w:t>
      </w:r>
      <w:r w:rsidR="00EA40A3">
        <w:t>here is no specific direction to the contrary here</w:t>
      </w:r>
      <w:r>
        <w:t xml:space="preserve">; </w:t>
      </w:r>
      <w:r w:rsidR="00EA40A3">
        <w:t>such as indicating that some other form of subdivision would be appropriate</w:t>
      </w:r>
      <w:r w:rsidR="00B85BBD">
        <w:t xml:space="preserve">. </w:t>
      </w:r>
    </w:p>
    <w:p w14:paraId="34297DF7" w14:textId="2CD5425C" w:rsidR="00E54A99" w:rsidRDefault="00630911" w:rsidP="00B427B6">
      <w:pPr>
        <w:pStyle w:val="Para1"/>
        <w:tabs>
          <w:tab w:val="clear" w:pos="709"/>
          <w:tab w:val="num" w:pos="567"/>
        </w:tabs>
        <w:ind w:left="567"/>
      </w:pPr>
      <w:r>
        <w:t xml:space="preserve">The Tribunal accepts that the Responsible Authority could legitimately </w:t>
      </w:r>
      <w:r w:rsidR="00155B27">
        <w:t xml:space="preserve">have </w:t>
      </w:r>
      <w:r>
        <w:t>accept</w:t>
      </w:r>
      <w:r w:rsidR="00155B27">
        <w:t xml:space="preserve">ed </w:t>
      </w:r>
      <w:r>
        <w:t xml:space="preserve">the designation of ‘secure surplus land’ as an indication of its future use and development </w:t>
      </w:r>
      <w:r w:rsidR="00EA40A3">
        <w:t>at the time the Development Plan was approved</w:t>
      </w:r>
      <w:r>
        <w:t xml:space="preserve">.  </w:t>
      </w:r>
      <w:r w:rsidR="00EA40A3">
        <w:t>In saying that</w:t>
      </w:r>
      <w:r>
        <w:t>, it</w:t>
      </w:r>
      <w:r w:rsidR="00E53403">
        <w:t xml:space="preserve"> is not </w:t>
      </w:r>
      <w:r>
        <w:t xml:space="preserve">obvious </w:t>
      </w:r>
      <w:r w:rsidR="00E53403">
        <w:t xml:space="preserve">to the Tribunal what was intended by the reference to the word </w:t>
      </w:r>
      <w:r>
        <w:t>‘</w:t>
      </w:r>
      <w:r w:rsidR="00E53403">
        <w:t>secure</w:t>
      </w:r>
      <w:r>
        <w:t>’</w:t>
      </w:r>
      <w:r w:rsidR="00E53403">
        <w:t xml:space="preserve"> in ‘secure surplus land’.  </w:t>
      </w:r>
      <w:r w:rsidR="00E54A99">
        <w:t xml:space="preserve">It is likely to simply reflect the fact it is fenced off from the part of the land to the north. </w:t>
      </w:r>
    </w:p>
    <w:p w14:paraId="45A6ED2F" w14:textId="51702352" w:rsidR="00A57F58" w:rsidRDefault="00E53403" w:rsidP="00B427B6">
      <w:pPr>
        <w:pStyle w:val="Para1"/>
        <w:tabs>
          <w:tab w:val="clear" w:pos="709"/>
          <w:tab w:val="num" w:pos="567"/>
        </w:tabs>
        <w:ind w:left="567"/>
      </w:pPr>
      <w:r>
        <w:t xml:space="preserve">If </w:t>
      </w:r>
      <w:r w:rsidR="00E54A99">
        <w:t>the</w:t>
      </w:r>
      <w:r w:rsidR="00084022">
        <w:t xml:space="preserve"> </w:t>
      </w:r>
      <w:r w:rsidR="00E54A99">
        <w:t xml:space="preserve">surplus land </w:t>
      </w:r>
      <w:r>
        <w:t xml:space="preserve">was intended to be kept entirely free from development as some sort of </w:t>
      </w:r>
      <w:r w:rsidR="00630911">
        <w:t xml:space="preserve">vegetation </w:t>
      </w:r>
      <w:r>
        <w:t>offset site</w:t>
      </w:r>
      <w:r w:rsidR="00630911">
        <w:t xml:space="preserve"> or contribution to public open space</w:t>
      </w:r>
      <w:r>
        <w:t xml:space="preserve">, presumably this would have been reflected in a legally binding restriction such as a section 173 agreement or covenant on title.  </w:t>
      </w:r>
      <w:r w:rsidR="00630911">
        <w:t>For example, i</w:t>
      </w:r>
      <w:r>
        <w:t xml:space="preserve">t </w:t>
      </w:r>
      <w:r w:rsidR="00FD2764">
        <w:t>is not apparent that this land forms part of the Native Vegetation Offset plan required under condition 41 of the development permit for the</w:t>
      </w:r>
      <w:r w:rsidR="00D93F70">
        <w:t xml:space="preserve"> retirement village and</w:t>
      </w:r>
      <w:r w:rsidR="00FD2764">
        <w:t xml:space="preserve"> aged care facil</w:t>
      </w:r>
      <w:r w:rsidR="00EA40A3">
        <w:t>ity.</w:t>
      </w:r>
    </w:p>
    <w:p w14:paraId="522B9C34" w14:textId="1462B553" w:rsidR="00155B27" w:rsidRDefault="00155B27" w:rsidP="00B427B6">
      <w:pPr>
        <w:pStyle w:val="Para1"/>
        <w:tabs>
          <w:tab w:val="clear" w:pos="709"/>
          <w:tab w:val="num" w:pos="567"/>
        </w:tabs>
        <w:ind w:left="567"/>
      </w:pPr>
      <w:r>
        <w:t>The Tribunal concludes that there is no express use or development foreshadowed for this land at the current time in the approved Development Plan, including any subdivision layout or landscape plan. Notwithstanding, by virtue of th</w:t>
      </w:r>
      <w:r w:rsidR="00EA40A3">
        <w:t>at part of</w:t>
      </w:r>
      <w:r>
        <w:t xml:space="preserve"> land being </w:t>
      </w:r>
      <w:r w:rsidR="00EA40A3">
        <w:t xml:space="preserve">clearly </w:t>
      </w:r>
      <w:r>
        <w:t>identified throughout the approved Development Plan as ‘surplus’</w:t>
      </w:r>
      <w:r w:rsidR="00D93F70">
        <w:t xml:space="preserve"> with no particular form of development</w:t>
      </w:r>
      <w:r>
        <w:t xml:space="preserve">, the Tribunal regards it as implicit that this </w:t>
      </w:r>
      <w:r w:rsidR="00EA40A3">
        <w:t>component</w:t>
      </w:r>
      <w:r>
        <w:t xml:space="preserve"> was always regarded as a residual part of the property</w:t>
      </w:r>
      <w:r w:rsidR="00EA40A3">
        <w:t xml:space="preserve"> that was not necessarily tied to the use or development of the northern part of the </w:t>
      </w:r>
      <w:r w:rsidR="00691383">
        <w:t>subject land</w:t>
      </w:r>
      <w:r>
        <w:t xml:space="preserve">. </w:t>
      </w:r>
    </w:p>
    <w:p w14:paraId="74FC1881" w14:textId="072FDF48" w:rsidR="00D30DFA" w:rsidRDefault="00D30DFA" w:rsidP="00B427B6">
      <w:pPr>
        <w:pStyle w:val="Para1"/>
        <w:tabs>
          <w:tab w:val="clear" w:pos="709"/>
          <w:tab w:val="num" w:pos="567"/>
        </w:tabs>
        <w:ind w:left="567"/>
      </w:pPr>
      <w:r>
        <w:t>While Schedule 4</w:t>
      </w:r>
      <w:r w:rsidR="00D62262">
        <w:t xml:space="preserve"> to the overlay</w:t>
      </w:r>
      <w:r>
        <w:t xml:space="preserve"> indicated that the Development Plan ‘should show’ proposed subdivision, this was not a necessary precondition </w:t>
      </w:r>
      <w:r w:rsidR="00EA40A3">
        <w:t>for</w:t>
      </w:r>
      <w:r>
        <w:t xml:space="preserve"> either the approval of the Development Plan or a finding that a subdivision of the land in two parts is generally in accordance with such plan. </w:t>
      </w:r>
    </w:p>
    <w:p w14:paraId="6B3C3784" w14:textId="1D710571" w:rsidR="00155B27" w:rsidRDefault="00EA40A3" w:rsidP="00B427B6">
      <w:pPr>
        <w:pStyle w:val="Para1"/>
        <w:tabs>
          <w:tab w:val="clear" w:pos="709"/>
          <w:tab w:val="num" w:pos="567"/>
        </w:tabs>
        <w:ind w:left="567"/>
      </w:pPr>
      <w:r>
        <w:t>Th</w:t>
      </w:r>
      <w:r w:rsidR="00155B27">
        <w:t xml:space="preserve">e boundaries of the two proposed lots </w:t>
      </w:r>
      <w:r>
        <w:t xml:space="preserve">on the Plan of Subdivision </w:t>
      </w:r>
      <w:r w:rsidR="00155B27">
        <w:t xml:space="preserve">are entirely consistent with the delineation of relevant parts of the </w:t>
      </w:r>
      <w:r w:rsidR="00691383">
        <w:t>subject land</w:t>
      </w:r>
      <w:r w:rsidR="00155B27">
        <w:t xml:space="preserve"> in the Development Plan.  </w:t>
      </w:r>
      <w:r>
        <w:t xml:space="preserve">The subdivision of the land into two lots is a natural consequence of this particular Development Plan.  </w:t>
      </w:r>
    </w:p>
    <w:p w14:paraId="285E7FF3" w14:textId="555E36A3" w:rsidR="00E17BDD" w:rsidRDefault="00B203DC" w:rsidP="00E17BDD">
      <w:pPr>
        <w:pStyle w:val="Para1"/>
        <w:tabs>
          <w:tab w:val="clear" w:pos="709"/>
          <w:tab w:val="num" w:pos="567"/>
        </w:tabs>
        <w:ind w:left="567"/>
      </w:pPr>
      <w:r>
        <w:rPr>
          <w:noProof/>
        </w:rPr>
        <w:lastRenderedPageBreak/>
        <w:drawing>
          <wp:anchor distT="0" distB="0" distL="114300" distR="114300" simplePos="0" relativeHeight="251667456" behindDoc="1" locked="0" layoutInCell="1" allowOverlap="1" wp14:anchorId="1A62E61B" wp14:editId="254A711D">
            <wp:simplePos x="0" y="0"/>
            <wp:positionH relativeFrom="column">
              <wp:posOffset>5183505</wp:posOffset>
            </wp:positionH>
            <wp:positionV relativeFrom="paragraph">
              <wp:posOffset>8459470</wp:posOffset>
            </wp:positionV>
            <wp:extent cx="1080000" cy="1080000"/>
            <wp:effectExtent l="0" t="0" r="6350" b="6350"/>
            <wp:wrapNone/>
            <wp:docPr id="23" name="VCAT Seal10"/>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55B27">
        <w:t>Arguably, the same could not be said of a proposal to subdivide the surplus land into conventional residential lots for example</w:t>
      </w:r>
      <w:r w:rsidR="00EA40A3">
        <w:t xml:space="preserve">.  </w:t>
      </w:r>
    </w:p>
    <w:p w14:paraId="5FB151B9" w14:textId="3C2BF05F" w:rsidR="00E17BDD" w:rsidRDefault="00EA40A3" w:rsidP="00B427B6">
      <w:pPr>
        <w:pStyle w:val="Para1"/>
        <w:tabs>
          <w:tab w:val="clear" w:pos="709"/>
          <w:tab w:val="num" w:pos="567"/>
        </w:tabs>
        <w:ind w:left="567"/>
      </w:pPr>
      <w:r>
        <w:t xml:space="preserve">The Tribunal has </w:t>
      </w:r>
      <w:r w:rsidR="00FF257E">
        <w:t xml:space="preserve">also </w:t>
      </w:r>
      <w:r>
        <w:t xml:space="preserve">had regard to the overall scope of the Development Plan in determining general accordance. </w:t>
      </w:r>
      <w:r w:rsidR="00155B27">
        <w:t xml:space="preserve">Although subdivision is a form of ‘development’ as this term is defined by the </w:t>
      </w:r>
      <w:r w:rsidR="00155B27" w:rsidRPr="00EA40A3">
        <w:rPr>
          <w:i/>
          <w:iCs/>
        </w:rPr>
        <w:t>Planning and Environment Act 1987</w:t>
      </w:r>
      <w:r w:rsidR="00155B27">
        <w:t>, key objectives</w:t>
      </w:r>
      <w:r>
        <w:t xml:space="preserve"> of</w:t>
      </w:r>
      <w:r w:rsidR="00155B27">
        <w:t xml:space="preserve"> the Development Plan focus on guiding future land use and development in the sense of built form. </w:t>
      </w:r>
    </w:p>
    <w:p w14:paraId="690DD184" w14:textId="47989670" w:rsidR="00155B27" w:rsidRDefault="00FF257E" w:rsidP="00E17BDD">
      <w:pPr>
        <w:pStyle w:val="Para1"/>
        <w:tabs>
          <w:tab w:val="clear" w:pos="709"/>
          <w:tab w:val="num" w:pos="567"/>
        </w:tabs>
        <w:ind w:left="567"/>
      </w:pPr>
      <w:r>
        <w:t xml:space="preserve">While </w:t>
      </w:r>
      <w:r w:rsidR="00E17BDD">
        <w:t xml:space="preserve">a lack of inconsistency is not the key test for a finding of “general accordance”, it acts as a further useful check </w:t>
      </w:r>
      <w:r w:rsidR="004A63A9">
        <w:t xml:space="preserve">or safeguard </w:t>
      </w:r>
      <w:r w:rsidR="00E17BDD">
        <w:t xml:space="preserve">in this instance.  </w:t>
      </w:r>
      <w:r w:rsidR="00155B27">
        <w:t>The Tribunal accepts submissions f</w:t>
      </w:r>
      <w:r>
        <w:t>or</w:t>
      </w:r>
      <w:r w:rsidR="00155B27">
        <w:t xml:space="preserve"> the Applicant that title arrangements and ownership of the surplus land </w:t>
      </w:r>
      <w:r w:rsidR="0066381E">
        <w:t>are</w:t>
      </w:r>
      <w:r w:rsidR="00155B27">
        <w:t xml:space="preserve"> not a matter of any consequence to the key objectives of the approved Development Plan. </w:t>
      </w:r>
    </w:p>
    <w:p w14:paraId="7955BAED" w14:textId="7E6184F3" w:rsidR="00E53403" w:rsidRDefault="00D33210" w:rsidP="00B427B6">
      <w:pPr>
        <w:pStyle w:val="Para1"/>
        <w:tabs>
          <w:tab w:val="clear" w:pos="709"/>
          <w:tab w:val="num" w:pos="567"/>
        </w:tabs>
        <w:ind w:left="567"/>
      </w:pPr>
      <w:r>
        <w:t>Irrespective of title</w:t>
      </w:r>
      <w:r w:rsidR="0066381E">
        <w:t xml:space="preserve"> boundaries</w:t>
      </w:r>
      <w:r>
        <w:t>, t</w:t>
      </w:r>
      <w:r w:rsidR="00A57F58">
        <w:t>here is</w:t>
      </w:r>
      <w:r w:rsidR="00630911">
        <w:t xml:space="preserve"> </w:t>
      </w:r>
      <w:r w:rsidR="00A57F58">
        <w:t xml:space="preserve">potential for this land </w:t>
      </w:r>
      <w:r w:rsidR="00630911">
        <w:t xml:space="preserve">in future </w:t>
      </w:r>
      <w:r w:rsidR="00A57F58">
        <w:t xml:space="preserve">to achieve the overall objective for the land as indicated in Clause 2.0 of the schedule to the Development Plan Overlay, namely “to achieve an integrated residential development offering choice and diversity of housing opportunities and types in a neighbourhood setting that has been master planned to provide a distinctive and attractive urban design”. </w:t>
      </w:r>
    </w:p>
    <w:p w14:paraId="2E86406D" w14:textId="494BC036" w:rsidR="00050E29" w:rsidRDefault="006B7205" w:rsidP="00B427B6">
      <w:pPr>
        <w:pStyle w:val="Para1"/>
        <w:tabs>
          <w:tab w:val="clear" w:pos="709"/>
          <w:tab w:val="num" w:pos="567"/>
        </w:tabs>
        <w:ind w:left="567"/>
      </w:pPr>
      <w:r>
        <w:t>Another</w:t>
      </w:r>
      <w:r w:rsidR="00882FD1">
        <w:t xml:space="preserve"> factor </w:t>
      </w:r>
      <w:r w:rsidR="00630911">
        <w:t xml:space="preserve">affirming general </w:t>
      </w:r>
      <w:r w:rsidR="00727122">
        <w:t>accordance</w:t>
      </w:r>
      <w:r w:rsidR="00630911">
        <w:t xml:space="preserve"> with the Development Plan </w:t>
      </w:r>
      <w:r w:rsidR="00882FD1">
        <w:t xml:space="preserve">is that the subdivision of the land into two lots </w:t>
      </w:r>
      <w:r w:rsidR="00436B0C">
        <w:t>would not affect the fact that its use and future development would continue to be controlled by the provisions of the Development Plan.  Therefore, if the</w:t>
      </w:r>
      <w:r w:rsidR="00084022">
        <w:t xml:space="preserve"> </w:t>
      </w:r>
      <w:r w:rsidR="00436B0C">
        <w:t>surplus land became a lot</w:t>
      </w:r>
      <w:r w:rsidR="00630911">
        <w:t xml:space="preserve"> in its own right</w:t>
      </w:r>
      <w:r w:rsidR="00436B0C">
        <w:t xml:space="preserve">, it could not be used or developed for any purpose unless the Development Plan was amended to reflect this.  </w:t>
      </w:r>
    </w:p>
    <w:p w14:paraId="596F4002" w14:textId="065FC061" w:rsidR="00436B0C" w:rsidRDefault="00436B0C" w:rsidP="00B427B6">
      <w:pPr>
        <w:pStyle w:val="Para1"/>
        <w:tabs>
          <w:tab w:val="clear" w:pos="709"/>
          <w:tab w:val="num" w:pos="567"/>
        </w:tabs>
        <w:ind w:left="567"/>
      </w:pPr>
      <w:r>
        <w:t xml:space="preserve">The concerns the Responsible Authority </w:t>
      </w:r>
      <w:r w:rsidR="00954D35">
        <w:t>expressed</w:t>
      </w:r>
      <w:r>
        <w:t xml:space="preserve"> in relation to the benefits of retaining existing vegetation on the surplus land are valid, especially in light of objectives of the Development Plan. </w:t>
      </w:r>
      <w:r w:rsidR="000A0FD6">
        <w:t>Relevantly</w:t>
      </w:r>
      <w:r w:rsidR="00630911">
        <w:t xml:space="preserve"> though</w:t>
      </w:r>
      <w:r>
        <w:t xml:space="preserve">, the </w:t>
      </w:r>
      <w:r w:rsidR="00C8719F">
        <w:t xml:space="preserve">creation of separate title for this land </w:t>
      </w:r>
      <w:r w:rsidR="000A0FD6">
        <w:t xml:space="preserve">as proposed </w:t>
      </w:r>
      <w:r w:rsidR="00C8719F">
        <w:t xml:space="preserve">would not alter any obligations that may exist </w:t>
      </w:r>
      <w:r w:rsidR="000A0FD6">
        <w:t>to protect</w:t>
      </w:r>
      <w:r w:rsidR="00C8719F">
        <w:t xml:space="preserve"> this vegetation.  </w:t>
      </w:r>
    </w:p>
    <w:p w14:paraId="2A8EB5CB" w14:textId="3C125E43" w:rsidR="00A97872" w:rsidRDefault="00A97872" w:rsidP="00B427B6">
      <w:pPr>
        <w:pStyle w:val="Para1"/>
        <w:tabs>
          <w:tab w:val="clear" w:pos="709"/>
          <w:tab w:val="num" w:pos="567"/>
        </w:tabs>
        <w:ind w:left="567"/>
      </w:pPr>
      <w:r>
        <w:t xml:space="preserve">In hindsight, while </w:t>
      </w:r>
      <w:r w:rsidR="00845503">
        <w:t>the Responsible Authority</w:t>
      </w:r>
      <w:r>
        <w:t xml:space="preserve"> may have preferred greater specificity about the future use and development of the balance lot, it approved </w:t>
      </w:r>
      <w:r w:rsidR="00D33210">
        <w:t>the</w:t>
      </w:r>
      <w:r>
        <w:t xml:space="preserve"> Development Plan without this level of detail.  In these circumstances, there is nothing to prevent subdivision before its more detailed use and development is identified.  </w:t>
      </w:r>
    </w:p>
    <w:p w14:paraId="5C84607A" w14:textId="5B0B4D1C" w:rsidR="003865C8" w:rsidRDefault="003865C8" w:rsidP="00B427B6">
      <w:pPr>
        <w:pStyle w:val="Para1"/>
        <w:tabs>
          <w:tab w:val="clear" w:pos="709"/>
          <w:tab w:val="num" w:pos="567"/>
        </w:tabs>
        <w:ind w:left="567"/>
      </w:pPr>
      <w:r>
        <w:t>The planning merits of the propos</w:t>
      </w:r>
      <w:r w:rsidR="00A97872">
        <w:t>ed subdivision</w:t>
      </w:r>
      <w:r>
        <w:t xml:space="preserve"> are non controversial - consideration of the matters in Clause 2.0 of Schedule 4 to the Development Plan Overlay, Clause</w:t>
      </w:r>
      <w:r w:rsidR="003E2565">
        <w:t>s</w:t>
      </w:r>
      <w:r>
        <w:t xml:space="preserve"> </w:t>
      </w:r>
      <w:r w:rsidR="003E2565">
        <w:t xml:space="preserve">53.01, </w:t>
      </w:r>
      <w:r>
        <w:t xml:space="preserve">56 </w:t>
      </w:r>
      <w:r w:rsidR="003E2565">
        <w:t xml:space="preserve">and 65 together with </w:t>
      </w:r>
      <w:r>
        <w:t>provisions of the General Residential Zone would support the grant of a permit subject to conditions proposed by the Responsible Authority.</w:t>
      </w:r>
      <w:r>
        <w:rPr>
          <w:rStyle w:val="FootnoteReference"/>
        </w:rPr>
        <w:footnoteReference w:id="12"/>
      </w:r>
      <w:r>
        <w:t xml:space="preserve"> </w:t>
      </w:r>
      <w:r w:rsidR="00A97872">
        <w:t xml:space="preserve">No contrary submissions were made </w:t>
      </w:r>
      <w:r w:rsidR="00922E9C">
        <w:t xml:space="preserve">in </w:t>
      </w:r>
      <w:r w:rsidR="00A97872">
        <w:t xml:space="preserve">this ‘single issue’ case.  </w:t>
      </w:r>
    </w:p>
    <w:p w14:paraId="6F567E48" w14:textId="08054A4E" w:rsidR="00630911" w:rsidRDefault="00B203DC" w:rsidP="00B427B6">
      <w:pPr>
        <w:pStyle w:val="Para1"/>
        <w:tabs>
          <w:tab w:val="clear" w:pos="709"/>
          <w:tab w:val="num" w:pos="567"/>
        </w:tabs>
        <w:ind w:left="567"/>
      </w:pPr>
      <w:r>
        <w:rPr>
          <w:noProof/>
        </w:rPr>
        <w:lastRenderedPageBreak/>
        <w:drawing>
          <wp:anchor distT="0" distB="0" distL="114300" distR="114300" simplePos="0" relativeHeight="251668480" behindDoc="1" locked="0" layoutInCell="1" allowOverlap="1" wp14:anchorId="4E00351A" wp14:editId="4D38F021">
            <wp:simplePos x="0" y="0"/>
            <wp:positionH relativeFrom="column">
              <wp:posOffset>5183505</wp:posOffset>
            </wp:positionH>
            <wp:positionV relativeFrom="paragraph">
              <wp:posOffset>8459470</wp:posOffset>
            </wp:positionV>
            <wp:extent cx="1080000" cy="1080000"/>
            <wp:effectExtent l="0" t="0" r="6350" b="6350"/>
            <wp:wrapNone/>
            <wp:docPr id="24" name="VCAT Seal1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97872">
        <w:t>Since</w:t>
      </w:r>
      <w:r w:rsidR="00630911">
        <w:t xml:space="preserve"> </w:t>
      </w:r>
      <w:r w:rsidR="00FB7A3F">
        <w:t xml:space="preserve">there </w:t>
      </w:r>
      <w:r w:rsidR="00630911">
        <w:t xml:space="preserve">is no intention by the current owner to expand the existing aged care facility into the surplus land, there are potential benefits in facilitating its subdivision to precipitate further planning for this site in line with the objectives of the underlying zone, overlay controls and approved Development Plan. </w:t>
      </w:r>
    </w:p>
    <w:p w14:paraId="697D00C9" w14:textId="541D0F30" w:rsidR="002552D7" w:rsidRPr="002552D7" w:rsidRDefault="002552D7" w:rsidP="00B3740A">
      <w:pPr>
        <w:pStyle w:val="Heading2"/>
      </w:pPr>
      <w:r w:rsidRPr="002552D7">
        <w:t xml:space="preserve">Conclusion </w:t>
      </w:r>
    </w:p>
    <w:p w14:paraId="0D0E8458" w14:textId="2907BE0C" w:rsidR="00A90C47" w:rsidRDefault="00A90C47" w:rsidP="00A90C47">
      <w:pPr>
        <w:pStyle w:val="Para1"/>
        <w:tabs>
          <w:tab w:val="clear" w:pos="709"/>
          <w:tab w:val="num" w:pos="567"/>
        </w:tabs>
        <w:ind w:left="567"/>
      </w:pPr>
      <w:r>
        <w:t>T</w:t>
      </w:r>
      <w:r w:rsidR="00EC4BC1">
        <w:t xml:space="preserve">he proposed two lot subdivision </w:t>
      </w:r>
      <w:r>
        <w:t xml:space="preserve">and subdivision to create two reserves </w:t>
      </w:r>
      <w:r w:rsidR="00EC4BC1">
        <w:t xml:space="preserve">is generally in accordance with the approved Development Plan for the subject land.  </w:t>
      </w:r>
      <w:r>
        <w:t xml:space="preserve">Subdivision of the </w:t>
      </w:r>
      <w:r w:rsidR="00691383">
        <w:t>subject land</w:t>
      </w:r>
      <w:r>
        <w:t xml:space="preserve"> was </w:t>
      </w:r>
      <w:r w:rsidR="00AB7B01">
        <w:t xml:space="preserve">also </w:t>
      </w:r>
      <w:r>
        <w:t xml:space="preserve">clearly encompassed by the </w:t>
      </w:r>
      <w:r w:rsidR="00AB7B01">
        <w:t xml:space="preserve">schedule to the </w:t>
      </w:r>
      <w:r>
        <w:t xml:space="preserve">Development Plan Overlay.  </w:t>
      </w:r>
    </w:p>
    <w:p w14:paraId="0A4018FC" w14:textId="618779A9" w:rsidR="00EC4BC1" w:rsidRDefault="00EC4BC1" w:rsidP="00EC4BC1">
      <w:pPr>
        <w:pStyle w:val="Para1"/>
        <w:tabs>
          <w:tab w:val="clear" w:pos="709"/>
          <w:tab w:val="num" w:pos="567"/>
        </w:tabs>
        <w:ind w:left="567"/>
      </w:pPr>
      <w:r>
        <w:t>The</w:t>
      </w:r>
      <w:r w:rsidR="00E451B1">
        <w:t xml:space="preserve"> subdivision proposed would progress objectives for the subject land to create two reserves to vest in Council in accordance with the Development Plan.  </w:t>
      </w:r>
      <w:r w:rsidR="00A90C47">
        <w:t>The</w:t>
      </w:r>
      <w:r w:rsidR="00A97872">
        <w:t>se</w:t>
      </w:r>
      <w:r w:rsidR="00A90C47">
        <w:t xml:space="preserve"> </w:t>
      </w:r>
      <w:r w:rsidR="00A97872">
        <w:t xml:space="preserve">reserves </w:t>
      </w:r>
      <w:r w:rsidR="00A90C47">
        <w:t xml:space="preserve">have been identified through mapping that is entirely consistent with the Development Plan. </w:t>
      </w:r>
    </w:p>
    <w:p w14:paraId="2AF5DB10" w14:textId="052263C2" w:rsidR="004D6C20" w:rsidRDefault="00F420B2" w:rsidP="00EC4BC1">
      <w:pPr>
        <w:pStyle w:val="Para1"/>
        <w:tabs>
          <w:tab w:val="clear" w:pos="709"/>
          <w:tab w:val="num" w:pos="567"/>
        </w:tabs>
        <w:ind w:left="567"/>
      </w:pPr>
      <w:r>
        <w:t>T</w:t>
      </w:r>
      <w:r w:rsidR="0071628C">
        <w:t xml:space="preserve">he creation of a new lot </w:t>
      </w:r>
      <w:r>
        <w:t xml:space="preserve">for the </w:t>
      </w:r>
      <w:r w:rsidR="00A97872">
        <w:t xml:space="preserve">south western </w:t>
      </w:r>
      <w:r>
        <w:t xml:space="preserve">part of the property </w:t>
      </w:r>
      <w:r w:rsidR="0071628C">
        <w:t>identified in the approved Development Plan as ‘</w:t>
      </w:r>
      <w:r w:rsidR="008419C7">
        <w:t xml:space="preserve">secure </w:t>
      </w:r>
      <w:r w:rsidR="0071628C">
        <w:t>surplus land’</w:t>
      </w:r>
      <w:r w:rsidR="00D4784E">
        <w:t xml:space="preserve"> is</w:t>
      </w:r>
      <w:r w:rsidR="0054426C">
        <w:t xml:space="preserve"> </w:t>
      </w:r>
      <w:r w:rsidR="00A97872">
        <w:t xml:space="preserve">either </w:t>
      </w:r>
      <w:r w:rsidR="0054426C">
        <w:t xml:space="preserve">implicit </w:t>
      </w:r>
      <w:r w:rsidR="00A97872">
        <w:t xml:space="preserve">or at least a natural consequence of </w:t>
      </w:r>
      <w:r w:rsidR="0054426C">
        <w:t xml:space="preserve">this designation in the </w:t>
      </w:r>
      <w:r w:rsidR="00A90C47">
        <w:t>Development P</w:t>
      </w:r>
      <w:r w:rsidR="0071628C">
        <w:t xml:space="preserve">lan.  </w:t>
      </w:r>
      <w:r w:rsidR="00A97872">
        <w:t xml:space="preserve">It was dealt with in the most basic terms, with no specific guidance or detail provided and there is no indication in the document to the contrary. </w:t>
      </w:r>
    </w:p>
    <w:p w14:paraId="3D8464DF" w14:textId="70C8ECBE" w:rsidR="00E451B1" w:rsidRDefault="00A90C47" w:rsidP="00EC4BC1">
      <w:pPr>
        <w:pStyle w:val="Para1"/>
        <w:tabs>
          <w:tab w:val="clear" w:pos="709"/>
          <w:tab w:val="num" w:pos="567"/>
        </w:tabs>
        <w:ind w:left="567"/>
      </w:pPr>
      <w:r>
        <w:t>T</w:t>
      </w:r>
      <w:r w:rsidR="0071628C">
        <w:t xml:space="preserve">he </w:t>
      </w:r>
      <w:r w:rsidR="0032151A">
        <w:t>future use and development of the surplus land would still require approval under the Development Plan</w:t>
      </w:r>
      <w:r w:rsidR="004D6C20">
        <w:t xml:space="preserve"> irrespective of </w:t>
      </w:r>
      <w:r w:rsidR="00A97872">
        <w:t>n</w:t>
      </w:r>
      <w:r w:rsidR="004D6C20">
        <w:t>ew title being created</w:t>
      </w:r>
      <w:r w:rsidR="0032151A">
        <w:t xml:space="preserve">.  </w:t>
      </w:r>
      <w:r w:rsidR="004D6C20">
        <w:t xml:space="preserve">In this way, the substantive objectives of the Development Plan can continue to be achieved.  </w:t>
      </w:r>
    </w:p>
    <w:p w14:paraId="6F27D723" w14:textId="56757D52" w:rsidR="0071628C" w:rsidRDefault="0054426C" w:rsidP="00EC4BC1">
      <w:pPr>
        <w:pStyle w:val="Para1"/>
        <w:tabs>
          <w:tab w:val="clear" w:pos="709"/>
          <w:tab w:val="num" w:pos="567"/>
        </w:tabs>
        <w:ind w:left="567"/>
      </w:pPr>
      <w:r>
        <w:t>The</w:t>
      </w:r>
      <w:r w:rsidR="003865C8">
        <w:t xml:space="preserve"> subdivision into two lots and two reserves is supported on the planning merits</w:t>
      </w:r>
      <w:r w:rsidR="00A97872">
        <w:t xml:space="preserve">, </w:t>
      </w:r>
      <w:r w:rsidR="00A90C47">
        <w:t>warrant</w:t>
      </w:r>
      <w:r w:rsidR="00A97872">
        <w:t xml:space="preserve">ing </w:t>
      </w:r>
      <w:r w:rsidR="00A90C47">
        <w:t>the grant of a permit</w:t>
      </w:r>
      <w:r w:rsidR="0071628C">
        <w:t xml:space="preserve">. </w:t>
      </w:r>
    </w:p>
    <w:p w14:paraId="3BDF34A5" w14:textId="3E8C332E" w:rsidR="003A39B1" w:rsidRDefault="003A39B1" w:rsidP="001E5F05"/>
    <w:p w14:paraId="23943FC8" w14:textId="77777777" w:rsidR="00C8177F" w:rsidRDefault="00C8177F" w:rsidP="001E5F05"/>
    <w:p w14:paraId="7CF360A0" w14:textId="3D092E3C" w:rsidR="003A39B1" w:rsidRDefault="003A39B1" w:rsidP="001E5F05"/>
    <w:p w14:paraId="243F7FED" w14:textId="331B6F8E" w:rsidR="00B427B6" w:rsidRDefault="00B427B6" w:rsidP="001E5F05"/>
    <w:p w14:paraId="3E9366DD" w14:textId="77777777" w:rsidR="00B427B6" w:rsidRDefault="00B427B6" w:rsidP="001E5F05"/>
    <w:tbl>
      <w:tblPr>
        <w:tblW w:w="5000" w:type="pct"/>
        <w:tblLook w:val="0000" w:firstRow="0" w:lastRow="0" w:firstColumn="0" w:lastColumn="0" w:noHBand="0" w:noVBand="0"/>
      </w:tblPr>
      <w:tblGrid>
        <w:gridCol w:w="2976"/>
        <w:gridCol w:w="2552"/>
        <w:gridCol w:w="2977"/>
      </w:tblGrid>
      <w:tr w:rsidR="003A39B1" w14:paraId="28864746" w14:textId="77777777" w:rsidTr="00494EC0">
        <w:tc>
          <w:tcPr>
            <w:tcW w:w="1750" w:type="pct"/>
          </w:tcPr>
          <w:p w14:paraId="1FCECD4B" w14:textId="77777777" w:rsidR="003A39B1" w:rsidRPr="00B876A2" w:rsidRDefault="003A39B1" w:rsidP="00494EC0">
            <w:pPr>
              <w:rPr>
                <w:b/>
              </w:rPr>
            </w:pPr>
            <w:r>
              <w:rPr>
                <w:b/>
              </w:rPr>
              <w:t>Dalia Cook</w:t>
            </w:r>
          </w:p>
          <w:p w14:paraId="5BA670C4" w14:textId="77777777" w:rsidR="003A39B1" w:rsidRDefault="003A39B1" w:rsidP="00494EC0">
            <w:pPr>
              <w:tabs>
                <w:tab w:val="left" w:pos="1515"/>
              </w:tabs>
              <w:rPr>
                <w:b/>
              </w:rPr>
            </w:pPr>
            <w:r>
              <w:rPr>
                <w:b/>
              </w:rPr>
              <w:t>Member</w:t>
            </w:r>
          </w:p>
        </w:tc>
        <w:tc>
          <w:tcPr>
            <w:tcW w:w="1500" w:type="pct"/>
          </w:tcPr>
          <w:p w14:paraId="1B40E3BA" w14:textId="77777777" w:rsidR="003A39B1" w:rsidRDefault="003A39B1" w:rsidP="00494EC0"/>
        </w:tc>
        <w:tc>
          <w:tcPr>
            <w:tcW w:w="1750" w:type="pct"/>
          </w:tcPr>
          <w:p w14:paraId="236D05DA" w14:textId="77777777" w:rsidR="003A39B1" w:rsidRDefault="003A39B1" w:rsidP="00494EC0"/>
        </w:tc>
      </w:tr>
    </w:tbl>
    <w:p w14:paraId="4269226B" w14:textId="77777777" w:rsidR="003A39B1" w:rsidRDefault="003A39B1" w:rsidP="001E5F05"/>
    <w:p w14:paraId="46786F5A" w14:textId="77777777" w:rsidR="003A39B1" w:rsidRDefault="003A39B1" w:rsidP="001E5F05">
      <w:r>
        <w:br w:type="page"/>
      </w:r>
    </w:p>
    <w:p w14:paraId="1554BAC5" w14:textId="4F6A8888" w:rsidR="003A39B1" w:rsidRDefault="00B203DC" w:rsidP="001E5F05">
      <w:pPr>
        <w:pStyle w:val="Heading1"/>
      </w:pPr>
      <w:r>
        <w:rPr>
          <w:noProof/>
        </w:rPr>
        <w:lastRenderedPageBreak/>
        <w:drawing>
          <wp:anchor distT="0" distB="0" distL="114300" distR="114300" simplePos="0" relativeHeight="251669504" behindDoc="1" locked="0" layoutInCell="1" allowOverlap="1" wp14:anchorId="4504B0BB" wp14:editId="0CC25F47">
            <wp:simplePos x="0" y="0"/>
            <wp:positionH relativeFrom="column">
              <wp:posOffset>5183505</wp:posOffset>
            </wp:positionH>
            <wp:positionV relativeFrom="paragraph">
              <wp:posOffset>8459470</wp:posOffset>
            </wp:positionV>
            <wp:extent cx="1080000" cy="1080000"/>
            <wp:effectExtent l="0" t="0" r="6350" b="6350"/>
            <wp:wrapNone/>
            <wp:docPr id="25" name="VCAT Seal12"/>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A39B1">
        <w:t>Appendix A – Permit Conditions</w:t>
      </w:r>
    </w:p>
    <w:p w14:paraId="6E8DE0B2" w14:textId="77777777" w:rsidR="003A39B1" w:rsidRDefault="003A39B1" w:rsidP="001E5F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3A39B1" w14:paraId="5CCD3549" w14:textId="77777777" w:rsidTr="00494EC0">
        <w:tc>
          <w:tcPr>
            <w:tcW w:w="3731" w:type="dxa"/>
            <w:tcBorders>
              <w:top w:val="single" w:sz="4" w:space="0" w:color="auto"/>
              <w:left w:val="single" w:sz="4" w:space="0" w:color="auto"/>
              <w:bottom w:val="single" w:sz="4" w:space="0" w:color="auto"/>
              <w:right w:val="single" w:sz="4" w:space="0" w:color="auto"/>
            </w:tcBorders>
            <w:hideMark/>
          </w:tcPr>
          <w:p w14:paraId="53F1F14B" w14:textId="77777777" w:rsidR="003A39B1" w:rsidRDefault="003A39B1" w:rsidP="00494EC0">
            <w:pPr>
              <w:pStyle w:val="TitlePage2"/>
            </w:pPr>
            <w:r>
              <w:t>Permit Application No:</w:t>
            </w:r>
          </w:p>
        </w:tc>
        <w:tc>
          <w:tcPr>
            <w:tcW w:w="4774" w:type="dxa"/>
            <w:tcBorders>
              <w:top w:val="single" w:sz="4" w:space="0" w:color="auto"/>
              <w:left w:val="single" w:sz="4" w:space="0" w:color="auto"/>
              <w:bottom w:val="single" w:sz="4" w:space="0" w:color="auto"/>
              <w:right w:val="single" w:sz="4" w:space="0" w:color="auto"/>
            </w:tcBorders>
          </w:tcPr>
          <w:p w14:paraId="03C2A1FE" w14:textId="77777777" w:rsidR="003A39B1" w:rsidRDefault="003A39B1" w:rsidP="00494EC0">
            <w:pPr>
              <w:pStyle w:val="TitlePagetext"/>
            </w:pPr>
            <w:r w:rsidRPr="003A39B1">
              <w:t>TPA/47486</w:t>
            </w:r>
          </w:p>
        </w:tc>
      </w:tr>
      <w:tr w:rsidR="003A39B1" w14:paraId="66699053" w14:textId="77777777" w:rsidTr="00494EC0">
        <w:tc>
          <w:tcPr>
            <w:tcW w:w="3731" w:type="dxa"/>
            <w:tcBorders>
              <w:top w:val="single" w:sz="4" w:space="0" w:color="auto"/>
              <w:left w:val="single" w:sz="4" w:space="0" w:color="auto"/>
              <w:bottom w:val="single" w:sz="4" w:space="0" w:color="auto"/>
              <w:right w:val="single" w:sz="4" w:space="0" w:color="auto"/>
            </w:tcBorders>
            <w:hideMark/>
          </w:tcPr>
          <w:p w14:paraId="47820B35" w14:textId="77777777" w:rsidR="003A39B1" w:rsidRDefault="003A39B1" w:rsidP="00494EC0">
            <w:pPr>
              <w:pStyle w:val="TitlePage2"/>
            </w:pPr>
            <w:r>
              <w:t>Land:</w:t>
            </w:r>
          </w:p>
        </w:tc>
        <w:tc>
          <w:tcPr>
            <w:tcW w:w="4774" w:type="dxa"/>
            <w:tcBorders>
              <w:top w:val="single" w:sz="4" w:space="0" w:color="auto"/>
              <w:left w:val="single" w:sz="4" w:space="0" w:color="auto"/>
              <w:bottom w:val="single" w:sz="4" w:space="0" w:color="auto"/>
              <w:right w:val="single" w:sz="4" w:space="0" w:color="auto"/>
            </w:tcBorders>
          </w:tcPr>
          <w:p w14:paraId="62F4DA5A" w14:textId="77777777" w:rsidR="003A39B1" w:rsidRDefault="003A39B1" w:rsidP="00494EC0">
            <w:pPr>
              <w:pStyle w:val="TitlePagetext"/>
            </w:pPr>
            <w:r w:rsidRPr="00EA1C45">
              <w:rPr>
                <w:noProof/>
              </w:rPr>
              <w:t xml:space="preserve">6-30 Brandon Park Drive </w:t>
            </w:r>
            <w:r>
              <w:rPr>
                <w:noProof/>
              </w:rPr>
              <w:br/>
            </w:r>
            <w:r w:rsidRPr="00EA1C45">
              <w:rPr>
                <w:noProof/>
              </w:rPr>
              <w:t>WHEELERS HILL  VIC  3150</w:t>
            </w:r>
          </w:p>
        </w:tc>
      </w:tr>
    </w:tbl>
    <w:p w14:paraId="7AD2B3FD" w14:textId="77777777" w:rsidR="003A39B1" w:rsidRDefault="003A39B1" w:rsidP="001E5F05"/>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3A39B1" w14:paraId="14D38371" w14:textId="77777777" w:rsidTr="00494EC0">
        <w:tc>
          <w:tcPr>
            <w:tcW w:w="8505" w:type="dxa"/>
            <w:tcBorders>
              <w:top w:val="single" w:sz="4" w:space="0" w:color="auto"/>
              <w:left w:val="single" w:sz="4" w:space="0" w:color="auto"/>
              <w:bottom w:val="nil"/>
              <w:right w:val="single" w:sz="4" w:space="0" w:color="auto"/>
            </w:tcBorders>
            <w:hideMark/>
          </w:tcPr>
          <w:p w14:paraId="004FEA13" w14:textId="77777777" w:rsidR="003A39B1" w:rsidRDefault="003A39B1" w:rsidP="00494EC0">
            <w:pPr>
              <w:pStyle w:val="TitlePage2"/>
              <w:jc w:val="center"/>
              <w:rPr>
                <w:bCs/>
              </w:rPr>
            </w:pPr>
            <w:r>
              <w:rPr>
                <w:bCs/>
              </w:rPr>
              <w:t>What the permit allows</w:t>
            </w:r>
          </w:p>
        </w:tc>
      </w:tr>
      <w:tr w:rsidR="003A39B1" w14:paraId="25778F92" w14:textId="77777777" w:rsidTr="00494EC0">
        <w:tc>
          <w:tcPr>
            <w:tcW w:w="8505" w:type="dxa"/>
            <w:tcBorders>
              <w:top w:val="nil"/>
              <w:left w:val="single" w:sz="4" w:space="0" w:color="auto"/>
              <w:bottom w:val="single" w:sz="4" w:space="0" w:color="auto"/>
              <w:right w:val="single" w:sz="4" w:space="0" w:color="auto"/>
            </w:tcBorders>
            <w:hideMark/>
          </w:tcPr>
          <w:p w14:paraId="116643CC" w14:textId="77777777" w:rsidR="003A39B1" w:rsidRDefault="003A39B1" w:rsidP="00494EC0">
            <w:pPr>
              <w:pStyle w:val="Order1"/>
            </w:pPr>
            <w:r>
              <w:t>In accordance with the endorsed plans:</w:t>
            </w:r>
          </w:p>
          <w:p w14:paraId="0C1F3D19" w14:textId="5D156097" w:rsidR="003A39B1" w:rsidRPr="008419C7" w:rsidRDefault="008419C7" w:rsidP="008419C7">
            <w:pPr>
              <w:pStyle w:val="Para5"/>
            </w:pPr>
            <w:r w:rsidRPr="008419C7">
              <w:t xml:space="preserve">Two lot subdivision and creation of two reserves </w:t>
            </w:r>
            <w:r w:rsidR="00B67D06">
              <w:t xml:space="preserve">in accordance with endorsed plans </w:t>
            </w:r>
            <w:r w:rsidRPr="008419C7">
              <w:t>pursuant to Clause</w:t>
            </w:r>
            <w:r w:rsidR="005308B4">
              <w:t xml:space="preserve"> 32.08-3 </w:t>
            </w:r>
            <w:r w:rsidRPr="008419C7">
              <w:t xml:space="preserve">of the Monash Planning Scheme </w:t>
            </w:r>
          </w:p>
        </w:tc>
      </w:tr>
    </w:tbl>
    <w:p w14:paraId="76CBA34F" w14:textId="77777777" w:rsidR="003A39B1" w:rsidRDefault="003A39B1" w:rsidP="001E5F05"/>
    <w:p w14:paraId="7D4514A4" w14:textId="77777777" w:rsidR="003A39B1" w:rsidRDefault="003A39B1" w:rsidP="001E5F05">
      <w:pPr>
        <w:pStyle w:val="Heading2"/>
      </w:pPr>
      <w:r>
        <w:t>Conditions:</w:t>
      </w:r>
    </w:p>
    <w:p w14:paraId="445F9743" w14:textId="30D949E3" w:rsidR="00A61DC3" w:rsidRDefault="00A61DC3" w:rsidP="00A61DC3">
      <w:pPr>
        <w:pStyle w:val="Heading3"/>
      </w:pPr>
      <w:r>
        <w:t xml:space="preserve">No </w:t>
      </w:r>
      <w:r w:rsidR="004E41BC">
        <w:t>a</w:t>
      </w:r>
      <w:r>
        <w:t>lterations</w:t>
      </w:r>
    </w:p>
    <w:p w14:paraId="12B283A8" w14:textId="40EB1F6F" w:rsidR="00A61DC3" w:rsidRDefault="00A61DC3" w:rsidP="00A61DC3">
      <w:pPr>
        <w:pStyle w:val="Condition2"/>
      </w:pPr>
      <w:r w:rsidRPr="00A61DC3">
        <w:t>The subdivision as shown on the endorsed plans must not be altered without</w:t>
      </w:r>
      <w:r>
        <w:t xml:space="preserve"> </w:t>
      </w:r>
      <w:r w:rsidRPr="00A61DC3">
        <w:t>the prior written consent of the Responsible Authority</w:t>
      </w:r>
      <w:r>
        <w:t>.</w:t>
      </w:r>
    </w:p>
    <w:p w14:paraId="16402E4D" w14:textId="03601B27" w:rsidR="00A61DC3" w:rsidRDefault="00A61DC3" w:rsidP="00A61DC3">
      <w:pPr>
        <w:pStyle w:val="Condition2"/>
      </w:pPr>
      <w:r w:rsidRPr="00A61DC3">
        <w:t xml:space="preserve">Each lot shown on the endorsed plans must be drained to the satisfaction of the Responsible Authority. </w:t>
      </w:r>
    </w:p>
    <w:p w14:paraId="18FE6B95" w14:textId="2A61F23A" w:rsidR="00A61DC3" w:rsidRPr="00A61DC3" w:rsidRDefault="00A61DC3" w:rsidP="00A61DC3">
      <w:pPr>
        <w:pStyle w:val="Heading3"/>
      </w:pPr>
      <w:r>
        <w:t xml:space="preserve">Mandatory </w:t>
      </w:r>
      <w:r w:rsidR="004E41BC">
        <w:t>c</w:t>
      </w:r>
      <w:r>
        <w:t>onditions</w:t>
      </w:r>
    </w:p>
    <w:p w14:paraId="1721CC6E" w14:textId="77062696" w:rsidR="00A61DC3" w:rsidRDefault="00A61DC3" w:rsidP="00A61DC3">
      <w:pPr>
        <w:pStyle w:val="Condition2"/>
      </w:pPr>
      <w:r w:rsidRPr="00A61DC3">
        <w:t>The owner of the land must enter into agreements with the relevant authorities for the provision of water supply, drainage, sewerage facilities, electricity and gas to each lot shown on the endorsed plan in accordance with that authority’s requirements and relevant legislation at the time.</w:t>
      </w:r>
    </w:p>
    <w:p w14:paraId="42033EBB" w14:textId="6EE5FCFA" w:rsidR="00A61DC3" w:rsidRDefault="00A61DC3" w:rsidP="00A61DC3">
      <w:pPr>
        <w:pStyle w:val="Condition2"/>
      </w:pPr>
      <w:r w:rsidRPr="00A61DC3">
        <w:t>All existing and proposed easements and sites for existing or required utility services and roads on the land must be set aside in the plan of subdivision submitted for certification in favour of the relevant authority for which the easement or site is to be created.</w:t>
      </w:r>
    </w:p>
    <w:p w14:paraId="0826EB33" w14:textId="35A5F989" w:rsidR="00A61DC3" w:rsidRDefault="00A61DC3" w:rsidP="00A61DC3">
      <w:pPr>
        <w:pStyle w:val="Condition2"/>
      </w:pPr>
      <w:r w:rsidRPr="00A61DC3">
        <w:t xml:space="preserve">The plan of subdivision submitted for certification under the </w:t>
      </w:r>
      <w:r w:rsidRPr="008E0FDD">
        <w:rPr>
          <w:i/>
          <w:iCs/>
        </w:rPr>
        <w:t>Subdivision Act 1988</w:t>
      </w:r>
      <w:r w:rsidRPr="00A61DC3">
        <w:t xml:space="preserve"> must be referred to the relevant authority in accordance with Section 8 of that Act.</w:t>
      </w:r>
    </w:p>
    <w:p w14:paraId="3B62C48D" w14:textId="64738821" w:rsidR="00A61DC3" w:rsidRDefault="00A61DC3" w:rsidP="00A61DC3">
      <w:pPr>
        <w:pStyle w:val="Condition2"/>
      </w:pPr>
      <w:r w:rsidRPr="00A61DC3">
        <w:t>The owner of the land must enter into an agreement with:</w:t>
      </w:r>
    </w:p>
    <w:p w14:paraId="3F3A36FA" w14:textId="04964047" w:rsidR="00A61DC3" w:rsidRDefault="00A61DC3" w:rsidP="00A61DC3">
      <w:pPr>
        <w:pStyle w:val="Condition2"/>
        <w:numPr>
          <w:ilvl w:val="1"/>
          <w:numId w:val="7"/>
        </w:numPr>
      </w:pPr>
      <w:r w:rsidRPr="00A61DC3">
        <w:t>a telecommunications network or service provider for the provision of telecommunication services to each lot shown on the endorsed plan in accordance with the provider’s requirements and relevant legislation at the time; and</w:t>
      </w:r>
    </w:p>
    <w:p w14:paraId="132C9A58" w14:textId="515AA24C" w:rsidR="00A61DC3" w:rsidRDefault="00A61DC3" w:rsidP="00A61DC3">
      <w:pPr>
        <w:pStyle w:val="Condition2"/>
        <w:numPr>
          <w:ilvl w:val="1"/>
          <w:numId w:val="7"/>
        </w:numPr>
      </w:pPr>
      <w:r w:rsidRPr="00A61DC3">
        <w:t xml:space="preserve">a suitably qualified person for the provision of fibre ready telecommunication facilities to each lot shown on the endorsed plan in accordance with any industry specifications or any standards set by </w:t>
      </w:r>
      <w:r w:rsidR="00B203DC">
        <w:rPr>
          <w:noProof/>
        </w:rPr>
        <w:lastRenderedPageBreak/>
        <w:drawing>
          <wp:anchor distT="0" distB="0" distL="114300" distR="114300" simplePos="0" relativeHeight="251670528" behindDoc="1" locked="0" layoutInCell="1" allowOverlap="1" wp14:anchorId="1D110B63" wp14:editId="0425FB08">
            <wp:simplePos x="0" y="0"/>
            <wp:positionH relativeFrom="column">
              <wp:posOffset>5183505</wp:posOffset>
            </wp:positionH>
            <wp:positionV relativeFrom="paragraph">
              <wp:posOffset>8459470</wp:posOffset>
            </wp:positionV>
            <wp:extent cx="1080000" cy="1080000"/>
            <wp:effectExtent l="0" t="0" r="6350" b="6350"/>
            <wp:wrapNone/>
            <wp:docPr id="26" name="VCAT Seal13"/>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A61DC3">
        <w:t>the Australian Communications and Media Authority, unless the applicant can demonstrate that the land is in an area where the National Broadband Network will not be provided by optical fibre.</w:t>
      </w:r>
    </w:p>
    <w:p w14:paraId="0F41A452" w14:textId="367F2321" w:rsidR="00A61DC3" w:rsidRDefault="00A61DC3" w:rsidP="00A61DC3">
      <w:pPr>
        <w:pStyle w:val="Condition2"/>
      </w:pPr>
      <w:r w:rsidRPr="00A61DC3">
        <w:t xml:space="preserve">Before the issue of a Statement of Compliance for any stage of the subdivision under the </w:t>
      </w:r>
      <w:r w:rsidRPr="008E0FDD">
        <w:rPr>
          <w:i/>
          <w:iCs/>
        </w:rPr>
        <w:t>Subdivision Act 1988</w:t>
      </w:r>
      <w:r w:rsidRPr="00A61DC3">
        <w:t>, the owner of the land must provide written confirmation from:</w:t>
      </w:r>
    </w:p>
    <w:p w14:paraId="4673841A" w14:textId="3373B70D" w:rsidR="00A61DC3" w:rsidRDefault="00A61DC3" w:rsidP="00A61DC3">
      <w:pPr>
        <w:pStyle w:val="Condition2"/>
        <w:numPr>
          <w:ilvl w:val="1"/>
          <w:numId w:val="7"/>
        </w:numPr>
      </w:pPr>
      <w:r w:rsidRPr="00A61DC3">
        <w:t>a telecommunications network or service provider that all lots are connected to or are ready for connection to telecommunications services in accordance with the provider’s requirements and relevant legislation at the time; and</w:t>
      </w:r>
    </w:p>
    <w:p w14:paraId="79424037" w14:textId="0B01C347" w:rsidR="00A61DC3" w:rsidRDefault="00A61DC3" w:rsidP="00A61DC3">
      <w:pPr>
        <w:pStyle w:val="Condition2"/>
        <w:numPr>
          <w:ilvl w:val="1"/>
          <w:numId w:val="7"/>
        </w:numPr>
      </w:pPr>
      <w:r w:rsidRPr="00A61DC3">
        <w:t>a suitably qualified person that fibre ready telecommunication facilities have been provided in accordance with any industry specifications or any standards set by the Australian Communications and Media Authority, unless the applicant can demonstrate that the land is in an area where the National Broadband Network will not be provided by optical fibre.</w:t>
      </w:r>
    </w:p>
    <w:p w14:paraId="5DAD2F8A" w14:textId="25E4D15C" w:rsidR="00A61DC3" w:rsidRDefault="00A61DC3" w:rsidP="00A61DC3">
      <w:pPr>
        <w:pStyle w:val="Heading3"/>
      </w:pPr>
      <w:r>
        <w:t xml:space="preserve">Melbourne Water </w:t>
      </w:r>
      <w:r w:rsidR="008E0FDD">
        <w:t>r</w:t>
      </w:r>
      <w:r>
        <w:t>equirements</w:t>
      </w:r>
    </w:p>
    <w:p w14:paraId="1EE51036" w14:textId="0877FEFA" w:rsidR="00A61DC3" w:rsidRDefault="00A61DC3" w:rsidP="00A61DC3">
      <w:pPr>
        <w:pStyle w:val="Condition2"/>
      </w:pPr>
      <w:r w:rsidRPr="00A61DC3">
        <w:t xml:space="preserve">Prior to the issue of a Statement of Compliance, the Owner </w:t>
      </w:r>
      <w:r w:rsidR="0004738D">
        <w:t xml:space="preserve">must </w:t>
      </w:r>
      <w:r w:rsidRPr="00A61DC3">
        <w:t xml:space="preserve">enter into and comply with an agreement with Melbourne Water Corporation for the acceptance of surface and storm water from the subject land directly or indirectly into Melbourne Water’s drainage systems and waterways and other matters in accordance with the powers of Melbourne Water Corporation under the </w:t>
      </w:r>
      <w:r w:rsidRPr="0004738D">
        <w:rPr>
          <w:i/>
          <w:iCs/>
        </w:rPr>
        <w:t>Water Act 1989</w:t>
      </w:r>
      <w:r w:rsidRPr="00A61DC3">
        <w:t>.</w:t>
      </w:r>
    </w:p>
    <w:p w14:paraId="55B4F45C" w14:textId="2AC60240" w:rsidR="00A61DC3" w:rsidRDefault="00A61DC3" w:rsidP="00A61DC3">
      <w:pPr>
        <w:pStyle w:val="Heading3"/>
      </w:pPr>
      <w:r>
        <w:t xml:space="preserve">Permit </w:t>
      </w:r>
      <w:r w:rsidR="0004738D">
        <w:t>e</w:t>
      </w:r>
      <w:r>
        <w:t>xpiry</w:t>
      </w:r>
    </w:p>
    <w:p w14:paraId="2B51E038" w14:textId="0C81117A" w:rsidR="00A61DC3" w:rsidRDefault="00A61DC3" w:rsidP="00A61DC3">
      <w:pPr>
        <w:pStyle w:val="Condition2"/>
      </w:pPr>
      <w:r w:rsidRPr="00A61DC3">
        <w:t xml:space="preserve">This permit will expire in accordance with section 68 of the </w:t>
      </w:r>
      <w:r w:rsidRPr="0004738D">
        <w:rPr>
          <w:i/>
          <w:iCs/>
        </w:rPr>
        <w:t>Planning and Environment Act 1987</w:t>
      </w:r>
      <w:r w:rsidRPr="00A61DC3">
        <w:t>, if one of the following circumstances applies:</w:t>
      </w:r>
    </w:p>
    <w:p w14:paraId="4E882353" w14:textId="418A4762" w:rsidR="00A61DC3" w:rsidRDefault="00A61DC3" w:rsidP="00A61DC3">
      <w:pPr>
        <w:pStyle w:val="Condition2"/>
        <w:numPr>
          <w:ilvl w:val="1"/>
          <w:numId w:val="7"/>
        </w:numPr>
      </w:pPr>
      <w:r w:rsidRPr="00A61DC3">
        <w:t xml:space="preserve">The plan of subdivision is not certified with two (2) years of the date of this permit; or  </w:t>
      </w:r>
    </w:p>
    <w:p w14:paraId="167DFFCA" w14:textId="05C9DC28" w:rsidR="00A61DC3" w:rsidRDefault="00A61DC3" w:rsidP="00A61DC3">
      <w:pPr>
        <w:pStyle w:val="ListParagraph"/>
        <w:numPr>
          <w:ilvl w:val="1"/>
          <w:numId w:val="7"/>
        </w:numPr>
      </w:pPr>
      <w:r w:rsidRPr="00A61DC3">
        <w:t xml:space="preserve">The plan of subdivision is not registered within five (5) years of the date of certification. </w:t>
      </w:r>
    </w:p>
    <w:p w14:paraId="2C0FA5CD" w14:textId="77777777" w:rsidR="00A61DC3" w:rsidRPr="00A61DC3" w:rsidRDefault="00A61DC3" w:rsidP="00A61DC3">
      <w:pPr>
        <w:pStyle w:val="ListParagraph"/>
        <w:ind w:left="1134"/>
      </w:pPr>
    </w:p>
    <w:p w14:paraId="70E155A3" w14:textId="0C17BD67" w:rsidR="00A61DC3" w:rsidRDefault="00A61DC3" w:rsidP="00A61DC3">
      <w:pPr>
        <w:pStyle w:val="Condition2"/>
        <w:numPr>
          <w:ilvl w:val="0"/>
          <w:numId w:val="0"/>
        </w:numPr>
        <w:ind w:left="567"/>
      </w:pPr>
      <w:r w:rsidRPr="00A61DC3">
        <w:t xml:space="preserve">In accordance with section 69 of the </w:t>
      </w:r>
      <w:r w:rsidRPr="00882F53">
        <w:rPr>
          <w:i/>
          <w:iCs/>
        </w:rPr>
        <w:t>Planning and Environment Act 1987</w:t>
      </w:r>
      <w:r w:rsidRPr="00A61DC3">
        <w:t>, the responsible authority may extend the periods referred to if a request is made in writing before the permit expires, or within six months afterwards.</w:t>
      </w:r>
    </w:p>
    <w:p w14:paraId="1BE57520" w14:textId="77777777" w:rsidR="003A39B1" w:rsidRDefault="003A39B1" w:rsidP="001E5F05">
      <w:pPr>
        <w:pStyle w:val="Order1"/>
      </w:pPr>
    </w:p>
    <w:p w14:paraId="4CCB0A97" w14:textId="77777777" w:rsidR="003A39B1" w:rsidRDefault="003A39B1" w:rsidP="001E5F05">
      <w:pPr>
        <w:pStyle w:val="Order1"/>
        <w:jc w:val="center"/>
        <w:rPr>
          <w:b/>
        </w:rPr>
      </w:pPr>
      <w:r>
        <w:rPr>
          <w:b/>
        </w:rPr>
        <w:t>- End of conditions -</w:t>
      </w:r>
    </w:p>
    <w:p w14:paraId="24622503" w14:textId="77777777" w:rsidR="003A39B1" w:rsidRDefault="003A39B1" w:rsidP="001E5F05"/>
    <w:p w14:paraId="6432BBFB" w14:textId="77777777" w:rsidR="003A39B1" w:rsidRDefault="003A39B1" w:rsidP="001E5F05">
      <w:pPr>
        <w:sectPr w:rsidR="003A39B1" w:rsidSect="00EF3258">
          <w:footerReference w:type="default" r:id="rId9"/>
          <w:pgSz w:w="11907" w:h="16840" w:code="9"/>
          <w:pgMar w:top="1418" w:right="1701" w:bottom="1418" w:left="1701" w:header="567" w:footer="567" w:gutter="0"/>
          <w:cols w:space="720"/>
          <w:titlePg/>
          <w:docGrid w:linePitch="360"/>
        </w:sectPr>
      </w:pPr>
    </w:p>
    <w:p w14:paraId="09626880" w14:textId="77777777" w:rsidR="003A39B1" w:rsidRDefault="003A39B1" w:rsidP="001E5F05"/>
    <w:sectPr w:rsidR="003A39B1" w:rsidSect="003A39B1">
      <w:footerReference w:type="default" r:id="rId10"/>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60432" w14:textId="77777777" w:rsidR="00DA7993" w:rsidRDefault="00DA7993">
      <w:r>
        <w:separator/>
      </w:r>
    </w:p>
  </w:endnote>
  <w:endnote w:type="continuationSeparator" w:id="0">
    <w:p w14:paraId="39E37CC2" w14:textId="77777777" w:rsidR="00DA7993" w:rsidRDefault="00DA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494EC0" w14:paraId="4EA15FB0" w14:textId="77777777">
      <w:trPr>
        <w:cantSplit/>
      </w:trPr>
      <w:tc>
        <w:tcPr>
          <w:tcW w:w="3884" w:type="pct"/>
        </w:tcPr>
        <w:p w14:paraId="0BD5114C" w14:textId="61ADB1E0" w:rsidR="00494EC0" w:rsidRDefault="00494EC0">
          <w:pPr>
            <w:pStyle w:val="Footer"/>
            <w:spacing w:beforeLines="60" w:before="144"/>
            <w:rPr>
              <w:rFonts w:cs="Arial"/>
              <w:sz w:val="18"/>
              <w:szCs w:val="18"/>
            </w:rPr>
          </w:pPr>
          <w:r>
            <w:rPr>
              <w:rFonts w:cs="Arial"/>
              <w:sz w:val="18"/>
              <w:szCs w:val="18"/>
            </w:rPr>
            <w:t xml:space="preserve">VCAT Reference No. </w:t>
          </w:r>
          <w:r w:rsidRPr="00EA1C45">
            <w:rPr>
              <w:noProof/>
              <w:sz w:val="18"/>
              <w:szCs w:val="18"/>
            </w:rPr>
            <w:t>P311/2020</w:t>
          </w:r>
        </w:p>
      </w:tc>
      <w:tc>
        <w:tcPr>
          <w:tcW w:w="1116" w:type="pct"/>
        </w:tcPr>
        <w:p w14:paraId="08054E81" w14:textId="5D5B02A3" w:rsidR="00494EC0" w:rsidRDefault="00EF3258">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2</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sz w:val="18"/>
              <w:szCs w:val="18"/>
            </w:rPr>
            <w:t>13</w:t>
          </w:r>
          <w:r>
            <w:rPr>
              <w:rFonts w:cs="Arial"/>
              <w:sz w:val="18"/>
              <w:szCs w:val="18"/>
            </w:rPr>
            <w:fldChar w:fldCharType="end"/>
          </w:r>
        </w:p>
      </w:tc>
    </w:tr>
  </w:tbl>
  <w:p w14:paraId="1FE0BEF4" w14:textId="77777777" w:rsidR="00494EC0" w:rsidRDefault="00494EC0">
    <w:pPr>
      <w:pStyle w:val="Footer"/>
      <w:rPr>
        <w:sz w:val="2"/>
      </w:rPr>
    </w:pPr>
  </w:p>
  <w:p w14:paraId="0C0A4C38" w14:textId="77777777" w:rsidR="00494EC0" w:rsidRDefault="00494EC0">
    <w:pPr>
      <w:rPr>
        <w:sz w:val="2"/>
      </w:rPr>
    </w:pPr>
  </w:p>
  <w:p w14:paraId="021AAEF4" w14:textId="77777777" w:rsidR="00494EC0" w:rsidRDefault="00494EC0">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494EC0" w14:paraId="7E56649A" w14:textId="77777777">
      <w:trPr>
        <w:cantSplit/>
      </w:trPr>
      <w:tc>
        <w:tcPr>
          <w:tcW w:w="3884" w:type="pct"/>
        </w:tcPr>
        <w:p w14:paraId="775AE3DD" w14:textId="77777777" w:rsidR="00494EC0" w:rsidRDefault="00494EC0">
          <w:pPr>
            <w:pStyle w:val="Footer"/>
            <w:spacing w:beforeLines="60" w:before="144"/>
            <w:rPr>
              <w:rFonts w:cs="Arial"/>
              <w:sz w:val="18"/>
              <w:szCs w:val="18"/>
            </w:rPr>
          </w:pPr>
          <w:bookmarkStart w:id="1" w:name="FooterDescription"/>
          <w:bookmarkStart w:id="2" w:name="FooterFileNo1"/>
          <w:bookmarkEnd w:id="1"/>
          <w:bookmarkEnd w:id="2"/>
          <w:r>
            <w:rPr>
              <w:rFonts w:cs="Arial"/>
              <w:sz w:val="18"/>
              <w:szCs w:val="18"/>
            </w:rPr>
            <w:t xml:space="preserve">VCAT Reference No. </w:t>
          </w:r>
          <w:r>
            <w:rPr>
              <w:noProof/>
              <w:sz w:val="18"/>
              <w:szCs w:val="18"/>
            </w:rPr>
            <w:t>«CaseCode»</w:t>
          </w:r>
        </w:p>
      </w:tc>
      <w:tc>
        <w:tcPr>
          <w:tcW w:w="1116" w:type="pct"/>
        </w:tcPr>
        <w:p w14:paraId="74E48886" w14:textId="77777777" w:rsidR="00494EC0" w:rsidRDefault="00494EC0">
          <w:pPr>
            <w:pStyle w:val="Footer"/>
            <w:spacing w:beforeLines="60" w:before="144"/>
            <w:jc w:val="right"/>
            <w:rPr>
              <w:rFonts w:cs="Arial"/>
              <w:sz w:val="18"/>
              <w:szCs w:val="18"/>
            </w:rPr>
          </w:pPr>
          <w:r>
            <w:rPr>
              <w:rFonts w:cs="Arial"/>
              <w:sz w:val="18"/>
              <w:szCs w:val="18"/>
            </w:rPr>
            <w:t xml:space="preserve">Page </w:t>
          </w:r>
          <w:r>
            <w:rPr>
              <w:rFonts w:cs="Arial"/>
              <w:noProof/>
              <w:sz w:val="18"/>
              <w:szCs w:val="18"/>
            </w:rPr>
            <w:t>4</w:t>
          </w:r>
          <w:r>
            <w:rPr>
              <w:rFonts w:cs="Arial"/>
              <w:sz w:val="18"/>
              <w:szCs w:val="18"/>
            </w:rPr>
            <w:t xml:space="preserve"> of </w:t>
          </w:r>
          <w:r>
            <w:rPr>
              <w:rFonts w:cs="Arial"/>
              <w:noProof/>
              <w:sz w:val="18"/>
              <w:szCs w:val="18"/>
            </w:rPr>
            <w:t>4</w:t>
          </w:r>
        </w:p>
      </w:tc>
    </w:tr>
  </w:tbl>
  <w:p w14:paraId="535E65C0" w14:textId="77777777" w:rsidR="00494EC0" w:rsidRDefault="00494EC0">
    <w:pPr>
      <w:pStyle w:val="Footer"/>
      <w:rPr>
        <w:sz w:val="2"/>
      </w:rPr>
    </w:pPr>
  </w:p>
  <w:p w14:paraId="67724FB0" w14:textId="77777777" w:rsidR="00494EC0" w:rsidRDefault="00494EC0">
    <w:pPr>
      <w:rPr>
        <w:sz w:val="2"/>
      </w:rPr>
    </w:pPr>
  </w:p>
  <w:p w14:paraId="27680415" w14:textId="77777777" w:rsidR="00494EC0" w:rsidRDefault="00494EC0">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6C9B0" w14:textId="77777777" w:rsidR="00DA7993" w:rsidRDefault="00DA7993">
      <w:pPr>
        <w:pStyle w:val="Footer"/>
        <w:pBdr>
          <w:top w:val="single" w:sz="4" w:space="1" w:color="auto"/>
        </w:pBdr>
        <w:rPr>
          <w:sz w:val="12"/>
        </w:rPr>
      </w:pPr>
    </w:p>
  </w:footnote>
  <w:footnote w:type="continuationSeparator" w:id="0">
    <w:p w14:paraId="42AB1B7B" w14:textId="77777777" w:rsidR="00DA7993" w:rsidRDefault="00DA7993">
      <w:r>
        <w:continuationSeparator/>
      </w:r>
    </w:p>
  </w:footnote>
  <w:footnote w:id="1">
    <w:p w14:paraId="4C4CA94A" w14:textId="25F13688" w:rsidR="00494EC0" w:rsidRPr="00C50516" w:rsidRDefault="00494EC0">
      <w:pPr>
        <w:pStyle w:val="FootnoteText"/>
        <w:rPr>
          <w:lang w:val="en-US"/>
        </w:rPr>
      </w:pPr>
      <w:r>
        <w:rPr>
          <w:rStyle w:val="FootnoteReference"/>
        </w:rPr>
        <w:footnoteRef/>
      </w:r>
      <w:r>
        <w:t xml:space="preserve"> </w:t>
      </w:r>
      <w:r>
        <w:tab/>
      </w:r>
      <w:r>
        <w:rPr>
          <w:lang w:val="en-US"/>
        </w:rPr>
        <w:t>In writing.</w:t>
      </w:r>
    </w:p>
  </w:footnote>
  <w:footnote w:id="2">
    <w:p w14:paraId="485F540A" w14:textId="788A42ED" w:rsidR="00494EC0" w:rsidRDefault="00494EC0">
      <w:pPr>
        <w:pStyle w:val="FootnoteText"/>
      </w:pPr>
      <w:r>
        <w:rPr>
          <w:rStyle w:val="FootnoteReference"/>
        </w:rPr>
        <w:footnoteRef/>
      </w:r>
      <w:r>
        <w:t xml:space="preserve"> </w:t>
      </w:r>
      <w:r>
        <w:tab/>
      </w:r>
      <w:r w:rsidRPr="003613C0">
        <w:t xml:space="preserve">The proposal is exempt from notice and review requirements by virtue of </w:t>
      </w:r>
      <w:r w:rsidR="003613C0" w:rsidRPr="003613C0">
        <w:t xml:space="preserve">Clause 43.04-3 of </w:t>
      </w:r>
      <w:r w:rsidRPr="003613C0">
        <w:t>the Development Plan Overlay.</w:t>
      </w:r>
    </w:p>
  </w:footnote>
  <w:footnote w:id="3">
    <w:p w14:paraId="49EAC28C" w14:textId="560DF9BF" w:rsidR="00494EC0" w:rsidRDefault="00494EC0" w:rsidP="001E5F05">
      <w:pPr>
        <w:pStyle w:val="FootnoteText"/>
      </w:pPr>
      <w:r>
        <w:rPr>
          <w:rStyle w:val="FootnoteReference"/>
        </w:rPr>
        <w:footnoteRef/>
      </w:r>
      <w:r>
        <w:t xml:space="preserve"> </w:t>
      </w:r>
      <w:r>
        <w:tab/>
        <w:t>The submissions of the parties</w:t>
      </w:r>
      <w:r w:rsidR="004A4372">
        <w:t xml:space="preserve"> with appendices </w:t>
      </w:r>
      <w:r>
        <w:t>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4">
    <w:p w14:paraId="5EE4121C" w14:textId="1AABCC03" w:rsidR="00494EC0" w:rsidRDefault="00494EC0">
      <w:pPr>
        <w:pStyle w:val="FootnoteText"/>
      </w:pPr>
      <w:r>
        <w:rPr>
          <w:rStyle w:val="FootnoteReference"/>
        </w:rPr>
        <w:footnoteRef/>
      </w:r>
      <w:r>
        <w:t xml:space="preserve"> </w:t>
      </w:r>
      <w:r>
        <w:tab/>
        <w:t xml:space="preserve">TP/433. </w:t>
      </w:r>
    </w:p>
  </w:footnote>
  <w:footnote w:id="5">
    <w:p w14:paraId="3BD9A562" w14:textId="5B093BF1" w:rsidR="00494EC0" w:rsidRDefault="00494EC0">
      <w:pPr>
        <w:pStyle w:val="FootnoteText"/>
      </w:pPr>
      <w:r>
        <w:rPr>
          <w:rStyle w:val="FootnoteReference"/>
        </w:rPr>
        <w:footnoteRef/>
      </w:r>
      <w:r>
        <w:t xml:space="preserve"> </w:t>
      </w:r>
      <w:r>
        <w:tab/>
        <w:t xml:space="preserve">Chapter 1.2, page 5. </w:t>
      </w:r>
    </w:p>
  </w:footnote>
  <w:footnote w:id="6">
    <w:p w14:paraId="07B00CCD" w14:textId="4C8984DC" w:rsidR="00494EC0" w:rsidRDefault="00494EC0">
      <w:pPr>
        <w:pStyle w:val="FootnoteText"/>
      </w:pPr>
      <w:r>
        <w:rPr>
          <w:rStyle w:val="FootnoteReference"/>
        </w:rPr>
        <w:footnoteRef/>
      </w:r>
      <w:r>
        <w:t xml:space="preserve"> </w:t>
      </w:r>
      <w:r>
        <w:tab/>
        <w:t xml:space="preserve">Site Development Plan S01 A0-020.  An approved Tree Offset </w:t>
      </w:r>
      <w:r w:rsidR="00AA1D06">
        <w:t>P</w:t>
      </w:r>
      <w:r>
        <w:t xml:space="preserve">lan (Dwg No. 0931-001-L1000) identifies trees to be removed from the central portion of the land to be subdivided but retained near the linear open space and Academy Avenue frontage. </w:t>
      </w:r>
    </w:p>
  </w:footnote>
  <w:footnote w:id="7">
    <w:p w14:paraId="006F9E7C" w14:textId="77777777" w:rsidR="00494EC0" w:rsidRDefault="00494EC0" w:rsidP="00C7314F">
      <w:pPr>
        <w:pStyle w:val="FootnoteText"/>
      </w:pPr>
      <w:r>
        <w:rPr>
          <w:rStyle w:val="FootnoteReference"/>
        </w:rPr>
        <w:footnoteRef/>
      </w:r>
      <w:r>
        <w:t xml:space="preserve"> </w:t>
      </w:r>
      <w:r>
        <w:tab/>
        <w:t xml:space="preserve">TPA/47002. </w:t>
      </w:r>
    </w:p>
  </w:footnote>
  <w:footnote w:id="8">
    <w:p w14:paraId="772DA8ED" w14:textId="77777777" w:rsidR="00AA1D06" w:rsidRDefault="00AA1D06" w:rsidP="00AA1D06">
      <w:pPr>
        <w:pStyle w:val="FootnoteText"/>
      </w:pPr>
      <w:r>
        <w:rPr>
          <w:rStyle w:val="FootnoteReference"/>
        </w:rPr>
        <w:footnoteRef/>
      </w:r>
      <w:r>
        <w:t xml:space="preserve"> </w:t>
      </w:r>
      <w:r>
        <w:tab/>
        <w:t xml:space="preserve">Including </w:t>
      </w:r>
      <w:r w:rsidRPr="003E2565">
        <w:rPr>
          <w:i/>
          <w:iCs/>
        </w:rPr>
        <w:t>City of South Melbourne v Raftopoulos</w:t>
      </w:r>
      <w:r>
        <w:t xml:space="preserve"> (Application for Review No. 1999/34936), </w:t>
      </w:r>
      <w:r w:rsidRPr="003E2565">
        <w:rPr>
          <w:i/>
          <w:iCs/>
        </w:rPr>
        <w:t>Mainstay Group Pty Ltd v Moreland SC</w:t>
      </w:r>
      <w:r>
        <w:t xml:space="preserve"> [2005] VCAT 2189, </w:t>
      </w:r>
      <w:r w:rsidRPr="003E2565">
        <w:rPr>
          <w:i/>
          <w:iCs/>
        </w:rPr>
        <w:t>Casey Gardens Developments Pty Ltd v Casey CC</w:t>
      </w:r>
      <w:r>
        <w:t xml:space="preserve"> [2009] VCAT 2489 and the like. </w:t>
      </w:r>
    </w:p>
  </w:footnote>
  <w:footnote w:id="9">
    <w:p w14:paraId="0D51C44C" w14:textId="65D72222" w:rsidR="00494EC0" w:rsidRDefault="00494EC0">
      <w:pPr>
        <w:pStyle w:val="FootnoteText"/>
      </w:pPr>
      <w:r>
        <w:rPr>
          <w:rStyle w:val="FootnoteReference"/>
        </w:rPr>
        <w:footnoteRef/>
      </w:r>
      <w:r>
        <w:t xml:space="preserve"> </w:t>
      </w:r>
      <w:r>
        <w:tab/>
        <w:t xml:space="preserve">Section 35. </w:t>
      </w:r>
    </w:p>
  </w:footnote>
  <w:footnote w:id="10">
    <w:p w14:paraId="2D24E22A" w14:textId="6527BDB0" w:rsidR="00155B27" w:rsidRPr="00155B27" w:rsidRDefault="00155B27">
      <w:pPr>
        <w:pStyle w:val="FootnoteText"/>
        <w:rPr>
          <w:lang w:val="en-US"/>
        </w:rPr>
      </w:pPr>
      <w:r>
        <w:rPr>
          <w:rStyle w:val="FootnoteReference"/>
        </w:rPr>
        <w:footnoteRef/>
      </w:r>
      <w:r>
        <w:t xml:space="preserve"> </w:t>
      </w:r>
      <w:r>
        <w:rPr>
          <w:lang w:val="en-US"/>
        </w:rPr>
        <w:tab/>
      </w:r>
      <w:r w:rsidR="0025272D">
        <w:rPr>
          <w:lang w:val="en-US"/>
        </w:rPr>
        <w:t xml:space="preserve">[2006] VCAT 2168. </w:t>
      </w:r>
    </w:p>
  </w:footnote>
  <w:footnote w:id="11">
    <w:p w14:paraId="122A6D1E" w14:textId="7ABAFA70" w:rsidR="00155B27" w:rsidRPr="00155B27" w:rsidRDefault="00155B27">
      <w:pPr>
        <w:pStyle w:val="FootnoteText"/>
        <w:rPr>
          <w:lang w:val="en-US"/>
        </w:rPr>
      </w:pPr>
      <w:r>
        <w:rPr>
          <w:rStyle w:val="FootnoteReference"/>
        </w:rPr>
        <w:footnoteRef/>
      </w:r>
      <w:r>
        <w:t xml:space="preserve"> </w:t>
      </w:r>
      <w:r>
        <w:rPr>
          <w:lang w:val="en-US"/>
        </w:rPr>
        <w:tab/>
      </w:r>
      <w:r>
        <w:t>[2007] VCAT 1297.</w:t>
      </w:r>
    </w:p>
  </w:footnote>
  <w:footnote w:id="12">
    <w:p w14:paraId="107DE3D1" w14:textId="77777777" w:rsidR="00494EC0" w:rsidRDefault="00494EC0" w:rsidP="003865C8">
      <w:pPr>
        <w:pStyle w:val="FootnoteText"/>
      </w:pPr>
      <w:r>
        <w:rPr>
          <w:rStyle w:val="FootnoteReference"/>
        </w:rPr>
        <w:footnoteRef/>
      </w:r>
      <w:r>
        <w:t xml:space="preserve"> </w:t>
      </w:r>
      <w:r>
        <w:tab/>
        <w:t xml:space="preserve">An assessment of the subdivision against Clause 56 objectives was provided by the Applicant by letter dated 11 April 2017.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1">
    <w:nsid w:val="0AA81283"/>
    <w:multiLevelType w:val="hybridMultilevel"/>
    <w:tmpl w:val="B0D42354"/>
    <w:lvl w:ilvl="0" w:tplc="6D527BE2">
      <w:start w:val="1"/>
      <w:numFmt w:val="decimal"/>
      <w:pStyle w:val="Para1"/>
      <w:lvlText w:val="%1"/>
      <w:lvlJc w:val="left"/>
      <w:pPr>
        <w:tabs>
          <w:tab w:val="num" w:pos="709"/>
        </w:tabs>
        <w:ind w:left="709" w:hanging="567"/>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A875F1C"/>
    <w:multiLevelType w:val="hybridMultilevel"/>
    <w:tmpl w:val="F2DC8C7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5C96316F"/>
    <w:multiLevelType w:val="hybridMultilevel"/>
    <w:tmpl w:val="43FA61B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10"/>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num>
  <w:num w:numId="22">
    <w:abstractNumId w:val="1"/>
  </w:num>
  <w:num w:numId="23">
    <w:abstractNumId w:val="8"/>
  </w:num>
  <w:num w:numId="24">
    <w:abstractNumId w:val="1"/>
    <w:lvlOverride w:ilvl="0">
      <w:startOverride w:val="24"/>
    </w:lvlOverride>
  </w:num>
  <w:num w:numId="25">
    <w:abstractNumId w:val="1"/>
    <w:lvlOverride w:ilvl="0">
      <w:startOverride w:val="24"/>
    </w:lvlOverride>
  </w:num>
  <w:num w:numId="26">
    <w:abstractNumId w:val="9"/>
  </w:num>
  <w:num w:numId="27">
    <w:abstractNumId w:val="1"/>
  </w:num>
  <w:num w:numId="2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X3preLaW4JFR+4usSTS5pdLEhum4GUNL28P1IL58S3ZVNFfy/dyFzoxV2a9xrAZH6GlYA22BPWl2r6wuIMeqOw==" w:salt="Gmzfo7iPzPSal31QE1jFDw=="/>
  <w:defaultTabStop w:val="56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211018"/>
    <w:rsid w:val="0000036A"/>
    <w:rsid w:val="0001113F"/>
    <w:rsid w:val="00027C38"/>
    <w:rsid w:val="00027F01"/>
    <w:rsid w:val="00040ED1"/>
    <w:rsid w:val="0004738D"/>
    <w:rsid w:val="00050E29"/>
    <w:rsid w:val="00056084"/>
    <w:rsid w:val="0006048F"/>
    <w:rsid w:val="00061FEB"/>
    <w:rsid w:val="00062780"/>
    <w:rsid w:val="00063214"/>
    <w:rsid w:val="00063C31"/>
    <w:rsid w:val="00084022"/>
    <w:rsid w:val="000854CC"/>
    <w:rsid w:val="0008590B"/>
    <w:rsid w:val="000945F9"/>
    <w:rsid w:val="00094A20"/>
    <w:rsid w:val="000A0FD6"/>
    <w:rsid w:val="000F4E28"/>
    <w:rsid w:val="00124C1E"/>
    <w:rsid w:val="00137DD4"/>
    <w:rsid w:val="00152541"/>
    <w:rsid w:val="00155B27"/>
    <w:rsid w:val="001567AE"/>
    <w:rsid w:val="001572DF"/>
    <w:rsid w:val="0016093F"/>
    <w:rsid w:val="00163377"/>
    <w:rsid w:val="00166650"/>
    <w:rsid w:val="00167876"/>
    <w:rsid w:val="001708C4"/>
    <w:rsid w:val="00172515"/>
    <w:rsid w:val="0018330C"/>
    <w:rsid w:val="00195CB5"/>
    <w:rsid w:val="001E49C7"/>
    <w:rsid w:val="001E5F05"/>
    <w:rsid w:val="001F2D3D"/>
    <w:rsid w:val="0020467C"/>
    <w:rsid w:val="002057F3"/>
    <w:rsid w:val="00211018"/>
    <w:rsid w:val="00212307"/>
    <w:rsid w:val="00214C1E"/>
    <w:rsid w:val="002234F4"/>
    <w:rsid w:val="0023472F"/>
    <w:rsid w:val="0025272D"/>
    <w:rsid w:val="002552D7"/>
    <w:rsid w:val="0027563D"/>
    <w:rsid w:val="0028144B"/>
    <w:rsid w:val="0028244B"/>
    <w:rsid w:val="002851BA"/>
    <w:rsid w:val="00287AEA"/>
    <w:rsid w:val="00290F9B"/>
    <w:rsid w:val="0029276C"/>
    <w:rsid w:val="00293A03"/>
    <w:rsid w:val="002A47E1"/>
    <w:rsid w:val="002A52E0"/>
    <w:rsid w:val="002B7051"/>
    <w:rsid w:val="002D05B6"/>
    <w:rsid w:val="002F0916"/>
    <w:rsid w:val="002F27B5"/>
    <w:rsid w:val="00304863"/>
    <w:rsid w:val="00312D8A"/>
    <w:rsid w:val="0031301B"/>
    <w:rsid w:val="0032102D"/>
    <w:rsid w:val="0032151A"/>
    <w:rsid w:val="00323EEA"/>
    <w:rsid w:val="00334E1E"/>
    <w:rsid w:val="0034213D"/>
    <w:rsid w:val="00343E2A"/>
    <w:rsid w:val="003613C0"/>
    <w:rsid w:val="00361E5C"/>
    <w:rsid w:val="00361EF0"/>
    <w:rsid w:val="00377563"/>
    <w:rsid w:val="003813E9"/>
    <w:rsid w:val="003865C8"/>
    <w:rsid w:val="003A39B1"/>
    <w:rsid w:val="003B5E75"/>
    <w:rsid w:val="003D546E"/>
    <w:rsid w:val="003D7278"/>
    <w:rsid w:val="003E11C8"/>
    <w:rsid w:val="003E2565"/>
    <w:rsid w:val="00427A16"/>
    <w:rsid w:val="00434BAA"/>
    <w:rsid w:val="00436B0C"/>
    <w:rsid w:val="00467B86"/>
    <w:rsid w:val="00477574"/>
    <w:rsid w:val="004828A8"/>
    <w:rsid w:val="004908EE"/>
    <w:rsid w:val="004919B5"/>
    <w:rsid w:val="00494EC0"/>
    <w:rsid w:val="00495762"/>
    <w:rsid w:val="004A4372"/>
    <w:rsid w:val="004A63A9"/>
    <w:rsid w:val="004B3605"/>
    <w:rsid w:val="004C272B"/>
    <w:rsid w:val="004C5296"/>
    <w:rsid w:val="004D2122"/>
    <w:rsid w:val="004D6C20"/>
    <w:rsid w:val="004E41BC"/>
    <w:rsid w:val="004F54C1"/>
    <w:rsid w:val="00507771"/>
    <w:rsid w:val="00510802"/>
    <w:rsid w:val="00515B59"/>
    <w:rsid w:val="00530827"/>
    <w:rsid w:val="005308B4"/>
    <w:rsid w:val="005345F9"/>
    <w:rsid w:val="0054426C"/>
    <w:rsid w:val="00553659"/>
    <w:rsid w:val="005628C9"/>
    <w:rsid w:val="00567258"/>
    <w:rsid w:val="005707F3"/>
    <w:rsid w:val="005773C2"/>
    <w:rsid w:val="0058084D"/>
    <w:rsid w:val="0059145F"/>
    <w:rsid w:val="005A0B0B"/>
    <w:rsid w:val="005B3D5D"/>
    <w:rsid w:val="005B5C9D"/>
    <w:rsid w:val="005B5FB9"/>
    <w:rsid w:val="005C5876"/>
    <w:rsid w:val="005D3609"/>
    <w:rsid w:val="005D408F"/>
    <w:rsid w:val="005D6C47"/>
    <w:rsid w:val="005D77CE"/>
    <w:rsid w:val="005E1511"/>
    <w:rsid w:val="005E2D20"/>
    <w:rsid w:val="005E4824"/>
    <w:rsid w:val="005F46CB"/>
    <w:rsid w:val="005F6FDD"/>
    <w:rsid w:val="00600FC6"/>
    <w:rsid w:val="00604881"/>
    <w:rsid w:val="00627D88"/>
    <w:rsid w:val="00630911"/>
    <w:rsid w:val="00640601"/>
    <w:rsid w:val="00647F43"/>
    <w:rsid w:val="0065338E"/>
    <w:rsid w:val="0066381E"/>
    <w:rsid w:val="00666D13"/>
    <w:rsid w:val="00680AFF"/>
    <w:rsid w:val="00682C14"/>
    <w:rsid w:val="00691383"/>
    <w:rsid w:val="00696384"/>
    <w:rsid w:val="006A4B0C"/>
    <w:rsid w:val="006B7205"/>
    <w:rsid w:val="006C7549"/>
    <w:rsid w:val="006E7914"/>
    <w:rsid w:val="00705098"/>
    <w:rsid w:val="007104AF"/>
    <w:rsid w:val="0071628C"/>
    <w:rsid w:val="00726365"/>
    <w:rsid w:val="00727122"/>
    <w:rsid w:val="007301D6"/>
    <w:rsid w:val="00740FCC"/>
    <w:rsid w:val="007615E0"/>
    <w:rsid w:val="00763504"/>
    <w:rsid w:val="00764EDD"/>
    <w:rsid w:val="00776999"/>
    <w:rsid w:val="0079593A"/>
    <w:rsid w:val="00796305"/>
    <w:rsid w:val="007B402C"/>
    <w:rsid w:val="007C51AD"/>
    <w:rsid w:val="007D3589"/>
    <w:rsid w:val="007D487A"/>
    <w:rsid w:val="007E3F47"/>
    <w:rsid w:val="007F00B8"/>
    <w:rsid w:val="007F1386"/>
    <w:rsid w:val="007F601B"/>
    <w:rsid w:val="007F77A1"/>
    <w:rsid w:val="008128BB"/>
    <w:rsid w:val="00812BED"/>
    <w:rsid w:val="00812EEA"/>
    <w:rsid w:val="008232B4"/>
    <w:rsid w:val="008265B7"/>
    <w:rsid w:val="00830459"/>
    <w:rsid w:val="008419C7"/>
    <w:rsid w:val="0084488B"/>
    <w:rsid w:val="0084497D"/>
    <w:rsid w:val="00845503"/>
    <w:rsid w:val="008602F8"/>
    <w:rsid w:val="00882F53"/>
    <w:rsid w:val="00882FD1"/>
    <w:rsid w:val="008832E0"/>
    <w:rsid w:val="008A247D"/>
    <w:rsid w:val="008A46EC"/>
    <w:rsid w:val="008A5793"/>
    <w:rsid w:val="008B3875"/>
    <w:rsid w:val="008B3F9E"/>
    <w:rsid w:val="008C1674"/>
    <w:rsid w:val="008E0FDD"/>
    <w:rsid w:val="00910CA1"/>
    <w:rsid w:val="00915C9A"/>
    <w:rsid w:val="009221F9"/>
    <w:rsid w:val="00922E9C"/>
    <w:rsid w:val="00924205"/>
    <w:rsid w:val="00926A96"/>
    <w:rsid w:val="00932AF9"/>
    <w:rsid w:val="0094148C"/>
    <w:rsid w:val="00954D35"/>
    <w:rsid w:val="00956463"/>
    <w:rsid w:val="009804A9"/>
    <w:rsid w:val="00993294"/>
    <w:rsid w:val="009B4B8C"/>
    <w:rsid w:val="009C06C7"/>
    <w:rsid w:val="009D0685"/>
    <w:rsid w:val="009E3700"/>
    <w:rsid w:val="00A02954"/>
    <w:rsid w:val="00A04EC9"/>
    <w:rsid w:val="00A066A7"/>
    <w:rsid w:val="00A150D3"/>
    <w:rsid w:val="00A30D6A"/>
    <w:rsid w:val="00A35800"/>
    <w:rsid w:val="00A46DD9"/>
    <w:rsid w:val="00A53783"/>
    <w:rsid w:val="00A57F58"/>
    <w:rsid w:val="00A61DC3"/>
    <w:rsid w:val="00A90C47"/>
    <w:rsid w:val="00A97872"/>
    <w:rsid w:val="00AA1D06"/>
    <w:rsid w:val="00AA2B5F"/>
    <w:rsid w:val="00AA587E"/>
    <w:rsid w:val="00AB29FA"/>
    <w:rsid w:val="00AB7B01"/>
    <w:rsid w:val="00AE4F13"/>
    <w:rsid w:val="00B0662F"/>
    <w:rsid w:val="00B12000"/>
    <w:rsid w:val="00B134F7"/>
    <w:rsid w:val="00B160AF"/>
    <w:rsid w:val="00B203DC"/>
    <w:rsid w:val="00B23925"/>
    <w:rsid w:val="00B24B9B"/>
    <w:rsid w:val="00B30FB4"/>
    <w:rsid w:val="00B31F5F"/>
    <w:rsid w:val="00B36A06"/>
    <w:rsid w:val="00B36ACB"/>
    <w:rsid w:val="00B371E4"/>
    <w:rsid w:val="00B3740A"/>
    <w:rsid w:val="00B427B6"/>
    <w:rsid w:val="00B67D06"/>
    <w:rsid w:val="00B739D2"/>
    <w:rsid w:val="00B85BBD"/>
    <w:rsid w:val="00B85E48"/>
    <w:rsid w:val="00B876A2"/>
    <w:rsid w:val="00BA1951"/>
    <w:rsid w:val="00BA345D"/>
    <w:rsid w:val="00BB59A9"/>
    <w:rsid w:val="00BB7851"/>
    <w:rsid w:val="00BC219D"/>
    <w:rsid w:val="00C02E98"/>
    <w:rsid w:val="00C10388"/>
    <w:rsid w:val="00C13CB2"/>
    <w:rsid w:val="00C255A5"/>
    <w:rsid w:val="00C26EBF"/>
    <w:rsid w:val="00C50516"/>
    <w:rsid w:val="00C6718C"/>
    <w:rsid w:val="00C7314F"/>
    <w:rsid w:val="00C7408F"/>
    <w:rsid w:val="00C8177F"/>
    <w:rsid w:val="00C8719F"/>
    <w:rsid w:val="00CA2144"/>
    <w:rsid w:val="00CA2642"/>
    <w:rsid w:val="00CB502A"/>
    <w:rsid w:val="00CC19B1"/>
    <w:rsid w:val="00CC6FF1"/>
    <w:rsid w:val="00CD1F2A"/>
    <w:rsid w:val="00D03F21"/>
    <w:rsid w:val="00D07777"/>
    <w:rsid w:val="00D10D87"/>
    <w:rsid w:val="00D14A42"/>
    <w:rsid w:val="00D15E81"/>
    <w:rsid w:val="00D21181"/>
    <w:rsid w:val="00D23389"/>
    <w:rsid w:val="00D24AFE"/>
    <w:rsid w:val="00D24B15"/>
    <w:rsid w:val="00D30DFA"/>
    <w:rsid w:val="00D33210"/>
    <w:rsid w:val="00D4487E"/>
    <w:rsid w:val="00D452AE"/>
    <w:rsid w:val="00D4784E"/>
    <w:rsid w:val="00D545CF"/>
    <w:rsid w:val="00D6081F"/>
    <w:rsid w:val="00D616BA"/>
    <w:rsid w:val="00D62262"/>
    <w:rsid w:val="00D64D3E"/>
    <w:rsid w:val="00D81545"/>
    <w:rsid w:val="00D93F70"/>
    <w:rsid w:val="00DA7993"/>
    <w:rsid w:val="00DC7C16"/>
    <w:rsid w:val="00DD240D"/>
    <w:rsid w:val="00E002C5"/>
    <w:rsid w:val="00E0576E"/>
    <w:rsid w:val="00E12394"/>
    <w:rsid w:val="00E17BDD"/>
    <w:rsid w:val="00E215EE"/>
    <w:rsid w:val="00E22A2C"/>
    <w:rsid w:val="00E33605"/>
    <w:rsid w:val="00E451B1"/>
    <w:rsid w:val="00E53403"/>
    <w:rsid w:val="00E54A99"/>
    <w:rsid w:val="00E62037"/>
    <w:rsid w:val="00E73D2B"/>
    <w:rsid w:val="00E769A5"/>
    <w:rsid w:val="00EA40A3"/>
    <w:rsid w:val="00EA5010"/>
    <w:rsid w:val="00EA5975"/>
    <w:rsid w:val="00EB5D67"/>
    <w:rsid w:val="00EC4BC1"/>
    <w:rsid w:val="00ED56ED"/>
    <w:rsid w:val="00EE35D0"/>
    <w:rsid w:val="00EE5E8E"/>
    <w:rsid w:val="00EF3258"/>
    <w:rsid w:val="00F2482B"/>
    <w:rsid w:val="00F27809"/>
    <w:rsid w:val="00F30C83"/>
    <w:rsid w:val="00F338E1"/>
    <w:rsid w:val="00F420B2"/>
    <w:rsid w:val="00F55C68"/>
    <w:rsid w:val="00F60617"/>
    <w:rsid w:val="00F773CF"/>
    <w:rsid w:val="00F9058C"/>
    <w:rsid w:val="00F94FD0"/>
    <w:rsid w:val="00FB16CF"/>
    <w:rsid w:val="00FB7A3F"/>
    <w:rsid w:val="00FD2764"/>
    <w:rsid w:val="00FE0B91"/>
    <w:rsid w:val="00FE58D6"/>
    <w:rsid w:val="00FF257E"/>
    <w:rsid w:val="00FF68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65C004"/>
  <w15:chartTrackingRefBased/>
  <w15:docId w15:val="{E6BA0FC0-4422-4414-A2C1-78AB00A5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5F05"/>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uiPriority w:val="99"/>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uiPriority w:val="99"/>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styleId="ListParagraph">
    <w:name w:val="List Paragraph"/>
    <w:basedOn w:val="Normal"/>
    <w:uiPriority w:val="34"/>
    <w:rsid w:val="00255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34509727">
      <w:bodyDiv w:val="1"/>
      <w:marLeft w:val="0"/>
      <w:marRight w:val="0"/>
      <w:marTop w:val="0"/>
      <w:marBottom w:val="0"/>
      <w:divBdr>
        <w:top w:val="none" w:sz="0" w:space="0" w:color="auto"/>
        <w:left w:val="none" w:sz="0" w:space="0" w:color="auto"/>
        <w:bottom w:val="none" w:sz="0" w:space="0" w:color="auto"/>
        <w:right w:val="none" w:sz="0" w:space="0" w:color="auto"/>
      </w:divBdr>
    </w:div>
    <w:div w:id="944188289">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498031344">
      <w:bodyDiv w:val="1"/>
      <w:marLeft w:val="0"/>
      <w:marRight w:val="0"/>
      <w:marTop w:val="0"/>
      <w:marBottom w:val="0"/>
      <w:divBdr>
        <w:top w:val="none" w:sz="0" w:space="0" w:color="auto"/>
        <w:left w:val="none" w:sz="0" w:space="0" w:color="auto"/>
        <w:bottom w:val="none" w:sz="0" w:space="0" w:color="auto"/>
        <w:right w:val="none" w:sz="0" w:space="0" w:color="auto"/>
      </w:divBdr>
    </w:div>
    <w:div w:id="1511942982">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950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851CF-44BD-424B-9097-73F640DA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4023</Words>
  <Characters>21008</Characters>
  <Application>Microsoft Office Word</Application>
  <DocSecurity>8</DocSecurity>
  <Lines>175</Lines>
  <Paragraphs>49</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 (CSV)</dc:creator>
  <cp:keywords/>
  <dc:description/>
  <cp:lastModifiedBy>Duygu Ates (CSV)</cp:lastModifiedBy>
  <cp:revision>7</cp:revision>
  <cp:lastPrinted>2016-10-05T18:04:00Z</cp:lastPrinted>
  <dcterms:created xsi:type="dcterms:W3CDTF">2020-06-30T05:24:00Z</dcterms:created>
  <dcterms:modified xsi:type="dcterms:W3CDTF">2020-06-30T05:28:00Z</dcterms:modified>
</cp:coreProperties>
</file>