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CA280" w14:textId="1B177E11" w:rsidR="00057004" w:rsidRDefault="00F31DF7" w:rsidP="00057004">
      <w:pPr>
        <w:pStyle w:val="TitlePage1"/>
      </w:pPr>
      <w:bookmarkStart w:id="0" w:name="_GoBack"/>
      <w:bookmarkEnd w:id="0"/>
      <w:r>
        <w:rPr>
          <w:noProof/>
        </w:rPr>
        <w:drawing>
          <wp:anchor distT="0" distB="0" distL="114300" distR="114300" simplePos="0" relativeHeight="251658240" behindDoc="1" locked="0" layoutInCell="1" allowOverlap="1" wp14:anchorId="6F4C202C" wp14:editId="57D31804">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7004">
        <w:t>VICTORIAN CIVIL AND ADMINISTRATIVE TRIBUNAL</w:t>
      </w:r>
    </w:p>
    <w:p w14:paraId="7E130746" w14:textId="77777777" w:rsidR="00057004" w:rsidRDefault="009307B5" w:rsidP="00517ECD">
      <w:pPr>
        <w:pStyle w:val="TitlePage1"/>
        <w:spacing w:after="120"/>
      </w:pPr>
      <w:bookmarkStart w:id="1" w:name="Division"/>
      <w:bookmarkEnd w:id="1"/>
      <w:r>
        <w:t xml:space="preserve">planning and environment </w:t>
      </w:r>
      <w:r w:rsidR="00057004">
        <w:t>DIVISION</w:t>
      </w:r>
    </w:p>
    <w:tbl>
      <w:tblPr>
        <w:tblW w:w="5000" w:type="pct"/>
        <w:tblLook w:val="0000" w:firstRow="0" w:lastRow="0" w:firstColumn="0" w:lastColumn="0" w:noHBand="0" w:noVBand="0"/>
      </w:tblPr>
      <w:tblGrid>
        <w:gridCol w:w="4494"/>
        <w:gridCol w:w="4011"/>
      </w:tblGrid>
      <w:tr w:rsidR="00057004" w14:paraId="77354387" w14:textId="77777777" w:rsidTr="00BC190D">
        <w:trPr>
          <w:cantSplit/>
        </w:trPr>
        <w:tc>
          <w:tcPr>
            <w:tcW w:w="2642" w:type="pct"/>
          </w:tcPr>
          <w:p w14:paraId="3B0B1585" w14:textId="77777777" w:rsidR="00057004" w:rsidRDefault="00057004" w:rsidP="00CA4D1F">
            <w:pPr>
              <w:pStyle w:val="TitlePage2"/>
              <w:ind w:left="-104"/>
            </w:pPr>
            <w:bookmarkStart w:id="2" w:name="SubDivision"/>
            <w:bookmarkEnd w:id="2"/>
            <w:r>
              <w:t>planning and environment LIST</w:t>
            </w:r>
          </w:p>
        </w:tc>
        <w:tc>
          <w:tcPr>
            <w:tcW w:w="2358" w:type="pct"/>
          </w:tcPr>
          <w:p w14:paraId="33456A5B" w14:textId="77777777" w:rsidR="000D4C3A" w:rsidRPr="00D660C2" w:rsidRDefault="00057004" w:rsidP="000D4C3A">
            <w:pPr>
              <w:pStyle w:val="TitlePage3"/>
            </w:pPr>
            <w:bookmarkStart w:id="3" w:name="FileNo1"/>
            <w:bookmarkEnd w:id="3"/>
            <w:r>
              <w:t xml:space="preserve">vcat reference No. </w:t>
            </w:r>
            <w:r w:rsidR="000D4C3A" w:rsidRPr="00D47B96">
              <w:rPr>
                <w:noProof/>
              </w:rPr>
              <w:t>P1718/2019</w:t>
            </w:r>
          </w:p>
          <w:p w14:paraId="090DF323" w14:textId="77777777" w:rsidR="00057004" w:rsidRDefault="00057004" w:rsidP="00BC190D">
            <w:pPr>
              <w:pStyle w:val="TitlePage3"/>
            </w:pPr>
            <w:r>
              <w:t xml:space="preserve">Permit Application no. </w:t>
            </w:r>
            <w:r w:rsidR="000D4C3A" w:rsidRPr="000D4C3A">
              <w:t>TPA/50010</w:t>
            </w:r>
          </w:p>
        </w:tc>
      </w:tr>
      <w:tr w:rsidR="00057004" w14:paraId="756BDD89" w14:textId="77777777" w:rsidTr="00BC190D">
        <w:tblPrEx>
          <w:jc w:val="center"/>
        </w:tblPrEx>
        <w:trPr>
          <w:cantSplit/>
          <w:jc w:val="center"/>
        </w:trPr>
        <w:tc>
          <w:tcPr>
            <w:tcW w:w="5000" w:type="pct"/>
            <w:gridSpan w:val="2"/>
          </w:tcPr>
          <w:p w14:paraId="516C8CA0" w14:textId="77777777" w:rsidR="007B785E" w:rsidRDefault="007B785E" w:rsidP="00BC190D">
            <w:pPr>
              <w:pStyle w:val="TitlePage2"/>
              <w:jc w:val="center"/>
            </w:pPr>
          </w:p>
          <w:p w14:paraId="4C5BB642" w14:textId="77777777" w:rsidR="00057004" w:rsidRDefault="00057004" w:rsidP="00BC190D">
            <w:pPr>
              <w:pStyle w:val="TitlePage2"/>
              <w:jc w:val="center"/>
            </w:pPr>
            <w:r>
              <w:t>CATCHWORDS</w:t>
            </w:r>
          </w:p>
        </w:tc>
      </w:tr>
      <w:tr w:rsidR="00057004" w14:paraId="270FF489" w14:textId="77777777" w:rsidTr="00BC190D">
        <w:tblPrEx>
          <w:jc w:val="center"/>
        </w:tblPrEx>
        <w:trPr>
          <w:cantSplit/>
          <w:jc w:val="center"/>
        </w:trPr>
        <w:tc>
          <w:tcPr>
            <w:tcW w:w="5000" w:type="pct"/>
            <w:gridSpan w:val="2"/>
          </w:tcPr>
          <w:p w14:paraId="461ECFA0" w14:textId="78912125" w:rsidR="00057004" w:rsidRDefault="00CB6345" w:rsidP="00CB6345">
            <w:pPr>
              <w:pStyle w:val="Catchwords"/>
              <w:jc w:val="center"/>
            </w:pPr>
            <w:r w:rsidRPr="00CB6345">
              <w:t xml:space="preserve">Section 77 of the </w:t>
            </w:r>
            <w:r w:rsidRPr="00CB6345">
              <w:rPr>
                <w:i/>
                <w:iCs/>
              </w:rPr>
              <w:t>Planning and Environment Act 1987</w:t>
            </w:r>
            <w:r w:rsidRPr="00CB6345">
              <w:t xml:space="preserve">;  Monash Planning Scheme;  General Residential Zone;  Construction of two dwellings;  </w:t>
            </w:r>
            <w:r w:rsidR="006762EE">
              <w:t xml:space="preserve">Subdivision into two lots;  </w:t>
            </w:r>
            <w:r w:rsidRPr="00CB6345">
              <w:t>Policy;  ResCode;  Car parking design standards</w:t>
            </w:r>
          </w:p>
        </w:tc>
      </w:tr>
    </w:tbl>
    <w:p w14:paraId="2A24E338" w14:textId="77777777" w:rsidR="00057004" w:rsidRDefault="00057004" w:rsidP="00057004">
      <w:bookmarkStart w:id="4" w:name="Catchwords"/>
      <w:bookmarkEnd w:id="4"/>
    </w:p>
    <w:tbl>
      <w:tblPr>
        <w:tblW w:w="5000" w:type="pct"/>
        <w:tblLook w:val="04A0" w:firstRow="1" w:lastRow="0" w:firstColumn="1" w:lastColumn="0" w:noHBand="0" w:noVBand="1"/>
      </w:tblPr>
      <w:tblGrid>
        <w:gridCol w:w="3545"/>
        <w:gridCol w:w="4960"/>
      </w:tblGrid>
      <w:tr w:rsidR="000D4C3A" w14:paraId="1B086A94" w14:textId="77777777" w:rsidTr="00BC190D">
        <w:tc>
          <w:tcPr>
            <w:tcW w:w="2084" w:type="pct"/>
            <w:hideMark/>
          </w:tcPr>
          <w:p w14:paraId="642D9EB4" w14:textId="77777777" w:rsidR="000D4C3A" w:rsidRPr="00D660C2" w:rsidRDefault="000D4C3A" w:rsidP="000D4C3A">
            <w:pPr>
              <w:pStyle w:val="TitlePage2"/>
            </w:pPr>
            <w:bookmarkStart w:id="5" w:name="DELcomplainants2"/>
            <w:bookmarkStart w:id="6" w:name="DELapp"/>
            <w:bookmarkStart w:id="7" w:name="DELitmo"/>
            <w:bookmarkStart w:id="8" w:name="DELcar"/>
            <w:r w:rsidRPr="00D660C2">
              <w:t>APPLICANT</w:t>
            </w:r>
          </w:p>
        </w:tc>
        <w:tc>
          <w:tcPr>
            <w:tcW w:w="2916" w:type="pct"/>
          </w:tcPr>
          <w:p w14:paraId="452E448B" w14:textId="77777777" w:rsidR="000D4C3A" w:rsidRPr="00D660C2" w:rsidRDefault="000D4C3A" w:rsidP="000D4C3A">
            <w:pPr>
              <w:pStyle w:val="TitlePagetext"/>
            </w:pPr>
            <w:r w:rsidRPr="00D47B96">
              <w:rPr>
                <w:noProof/>
              </w:rPr>
              <w:t>Sankaran Swarminatha</w:t>
            </w:r>
          </w:p>
        </w:tc>
      </w:tr>
      <w:tr w:rsidR="000D4C3A" w14:paraId="69D6CD95" w14:textId="77777777" w:rsidTr="00BC190D">
        <w:tc>
          <w:tcPr>
            <w:tcW w:w="2084" w:type="pct"/>
            <w:hideMark/>
          </w:tcPr>
          <w:p w14:paraId="2CED80B1" w14:textId="77777777" w:rsidR="000D4C3A" w:rsidRPr="00D660C2" w:rsidRDefault="000D4C3A" w:rsidP="000D4C3A">
            <w:pPr>
              <w:pStyle w:val="TitlePage2"/>
            </w:pPr>
            <w:r w:rsidRPr="00D660C2">
              <w:t>responsible authority</w:t>
            </w:r>
          </w:p>
        </w:tc>
        <w:tc>
          <w:tcPr>
            <w:tcW w:w="2916" w:type="pct"/>
          </w:tcPr>
          <w:p w14:paraId="2E6EC05F" w14:textId="77777777" w:rsidR="000D4C3A" w:rsidRPr="00D660C2" w:rsidRDefault="000D4C3A" w:rsidP="000D4C3A">
            <w:pPr>
              <w:pStyle w:val="TitlePagetext"/>
            </w:pPr>
            <w:r w:rsidRPr="00D47B96">
              <w:rPr>
                <w:noProof/>
              </w:rPr>
              <w:t>Monash City Council</w:t>
            </w:r>
          </w:p>
        </w:tc>
      </w:tr>
      <w:bookmarkEnd w:id="5"/>
      <w:bookmarkEnd w:id="6"/>
      <w:tr w:rsidR="000D4C3A" w14:paraId="212313A3" w14:textId="77777777" w:rsidTr="00BC190D">
        <w:tc>
          <w:tcPr>
            <w:tcW w:w="2084" w:type="pct"/>
            <w:hideMark/>
          </w:tcPr>
          <w:p w14:paraId="7099BB7F" w14:textId="77777777" w:rsidR="000D4C3A" w:rsidRPr="00D660C2" w:rsidRDefault="000D4C3A" w:rsidP="000D4C3A">
            <w:pPr>
              <w:pStyle w:val="TitlePage2"/>
            </w:pPr>
            <w:r w:rsidRPr="00D660C2">
              <w:t>SUBJECT LAND</w:t>
            </w:r>
          </w:p>
        </w:tc>
        <w:tc>
          <w:tcPr>
            <w:tcW w:w="2916" w:type="pct"/>
          </w:tcPr>
          <w:p w14:paraId="54BAE654" w14:textId="77777777" w:rsidR="000D4C3A" w:rsidRPr="00D660C2" w:rsidRDefault="000D4C3A" w:rsidP="000D4C3A">
            <w:pPr>
              <w:pStyle w:val="TitlePagetext"/>
            </w:pPr>
            <w:r w:rsidRPr="00D47B96">
              <w:rPr>
                <w:noProof/>
              </w:rPr>
              <w:t>668 Springvale Road</w:t>
            </w:r>
            <w:r>
              <w:rPr>
                <w:noProof/>
              </w:rPr>
              <w:t xml:space="preserve">, </w:t>
            </w:r>
            <w:r w:rsidRPr="00D47B96">
              <w:rPr>
                <w:noProof/>
              </w:rPr>
              <w:t>Mulgrave</w:t>
            </w:r>
          </w:p>
        </w:tc>
        <w:bookmarkEnd w:id="7"/>
        <w:bookmarkEnd w:id="8"/>
      </w:tr>
      <w:tr w:rsidR="00057004" w14:paraId="643D44F6" w14:textId="77777777" w:rsidTr="00BC190D">
        <w:tc>
          <w:tcPr>
            <w:tcW w:w="2084" w:type="pct"/>
            <w:hideMark/>
          </w:tcPr>
          <w:p w14:paraId="59B51600" w14:textId="77777777" w:rsidR="00057004" w:rsidRDefault="00057004" w:rsidP="00BC190D">
            <w:pPr>
              <w:pStyle w:val="TitlePage2"/>
            </w:pPr>
            <w:bookmarkStart w:id="9" w:name="INSresponsibleAuthority"/>
            <w:bookmarkEnd w:id="9"/>
            <w:r>
              <w:t>WHERE HELD</w:t>
            </w:r>
          </w:p>
        </w:tc>
        <w:tc>
          <w:tcPr>
            <w:tcW w:w="2916" w:type="pct"/>
            <w:hideMark/>
          </w:tcPr>
          <w:p w14:paraId="1319EA46" w14:textId="77777777" w:rsidR="00057004" w:rsidRDefault="00057004" w:rsidP="00BC190D">
            <w:pPr>
              <w:pStyle w:val="TitlePagetext"/>
            </w:pPr>
            <w:bookmarkStart w:id="10" w:name="Location"/>
            <w:bookmarkEnd w:id="10"/>
            <w:r>
              <w:t>Melbourne</w:t>
            </w:r>
          </w:p>
        </w:tc>
      </w:tr>
      <w:tr w:rsidR="00057004" w14:paraId="0B33FB00" w14:textId="77777777" w:rsidTr="00BC190D">
        <w:tc>
          <w:tcPr>
            <w:tcW w:w="2084" w:type="pct"/>
            <w:hideMark/>
          </w:tcPr>
          <w:p w14:paraId="1D8B80CA" w14:textId="77777777" w:rsidR="00057004" w:rsidRDefault="00057004" w:rsidP="00BC190D">
            <w:pPr>
              <w:pStyle w:val="TitlePage2"/>
            </w:pPr>
            <w:r>
              <w:t>BEFORE</w:t>
            </w:r>
          </w:p>
        </w:tc>
        <w:tc>
          <w:tcPr>
            <w:tcW w:w="2916" w:type="pct"/>
            <w:hideMark/>
          </w:tcPr>
          <w:p w14:paraId="0BD87CAF" w14:textId="77777777" w:rsidR="00057004" w:rsidRDefault="00DD6C29" w:rsidP="00BC190D">
            <w:pPr>
              <w:pStyle w:val="TitlePagetext"/>
            </w:pPr>
            <w:bookmarkStart w:id="11" w:name="Before"/>
            <w:bookmarkEnd w:id="11"/>
            <w:r w:rsidRPr="000D4C3A">
              <w:t>Geoffrey Code</w:t>
            </w:r>
            <w:r w:rsidR="00057004">
              <w:t xml:space="preserve">, </w:t>
            </w:r>
            <w:r>
              <w:t xml:space="preserve">Senior </w:t>
            </w:r>
            <w:r w:rsidR="00057004">
              <w:t>Member</w:t>
            </w:r>
          </w:p>
        </w:tc>
      </w:tr>
      <w:tr w:rsidR="00057004" w14:paraId="603A6620" w14:textId="77777777" w:rsidTr="00BC190D">
        <w:tc>
          <w:tcPr>
            <w:tcW w:w="2084" w:type="pct"/>
            <w:hideMark/>
          </w:tcPr>
          <w:p w14:paraId="6430F608" w14:textId="77777777" w:rsidR="00057004" w:rsidRDefault="00057004" w:rsidP="00BC190D">
            <w:pPr>
              <w:pStyle w:val="TitlePage2"/>
            </w:pPr>
            <w:r>
              <w:t>HEARING TYPE</w:t>
            </w:r>
          </w:p>
        </w:tc>
        <w:tc>
          <w:tcPr>
            <w:tcW w:w="2916" w:type="pct"/>
            <w:hideMark/>
          </w:tcPr>
          <w:p w14:paraId="455B723D" w14:textId="77777777" w:rsidR="00057004" w:rsidRPr="00744127" w:rsidRDefault="00057004" w:rsidP="00744127">
            <w:pPr>
              <w:pStyle w:val="TitlePagetext"/>
            </w:pPr>
            <w:bookmarkStart w:id="12" w:name="HearingType"/>
            <w:bookmarkEnd w:id="12"/>
            <w:r w:rsidRPr="00744127">
              <w:t>Hearing</w:t>
            </w:r>
          </w:p>
        </w:tc>
      </w:tr>
      <w:tr w:rsidR="00057004" w14:paraId="3E1D6E88" w14:textId="77777777" w:rsidTr="00BC190D">
        <w:tc>
          <w:tcPr>
            <w:tcW w:w="2084" w:type="pct"/>
            <w:hideMark/>
          </w:tcPr>
          <w:p w14:paraId="3B6CBCE8" w14:textId="77777777" w:rsidR="00057004" w:rsidRDefault="00057004" w:rsidP="00BC190D">
            <w:pPr>
              <w:pStyle w:val="TitlePage2"/>
            </w:pPr>
            <w:r>
              <w:t>DATE OF HEARING</w:t>
            </w:r>
          </w:p>
        </w:tc>
        <w:tc>
          <w:tcPr>
            <w:tcW w:w="2916" w:type="pct"/>
            <w:hideMark/>
          </w:tcPr>
          <w:p w14:paraId="5597DD9B" w14:textId="77777777" w:rsidR="00057004" w:rsidRPr="00744127" w:rsidRDefault="000D4C3A" w:rsidP="00744127">
            <w:pPr>
              <w:pStyle w:val="TitlePagetext"/>
            </w:pPr>
            <w:bookmarkStart w:id="13" w:name="HearingDate"/>
            <w:bookmarkEnd w:id="13"/>
            <w:r>
              <w:t>4 March 2020</w:t>
            </w:r>
          </w:p>
        </w:tc>
      </w:tr>
      <w:tr w:rsidR="00057004" w14:paraId="09006C63" w14:textId="77777777" w:rsidTr="00BC190D">
        <w:tc>
          <w:tcPr>
            <w:tcW w:w="2084" w:type="pct"/>
            <w:hideMark/>
          </w:tcPr>
          <w:p w14:paraId="0A262E7A" w14:textId="77777777" w:rsidR="00057004" w:rsidRDefault="00057004" w:rsidP="00BC190D">
            <w:pPr>
              <w:pStyle w:val="TitlePage2"/>
            </w:pPr>
            <w:r>
              <w:t>DATE OF ORDER</w:t>
            </w:r>
          </w:p>
        </w:tc>
        <w:tc>
          <w:tcPr>
            <w:tcW w:w="2916" w:type="pct"/>
          </w:tcPr>
          <w:p w14:paraId="75D1B457" w14:textId="1C27FC16" w:rsidR="00057004" w:rsidRDefault="00B96B64" w:rsidP="00BC190D">
            <w:pPr>
              <w:pStyle w:val="TitlePagetext"/>
            </w:pPr>
            <w:bookmarkStart w:id="14" w:name="DateOrder"/>
            <w:bookmarkEnd w:id="14"/>
            <w:r>
              <w:t>19</w:t>
            </w:r>
            <w:r w:rsidR="00CB6345">
              <w:t xml:space="preserve"> March 2020</w:t>
            </w:r>
          </w:p>
        </w:tc>
      </w:tr>
      <w:tr w:rsidR="00057004" w14:paraId="4FEC24F1" w14:textId="77777777" w:rsidTr="00BC190D">
        <w:tc>
          <w:tcPr>
            <w:tcW w:w="2084" w:type="pct"/>
            <w:hideMark/>
          </w:tcPr>
          <w:p w14:paraId="704AD253" w14:textId="77777777" w:rsidR="00057004" w:rsidRPr="00CB6345" w:rsidRDefault="00057004" w:rsidP="00BC190D">
            <w:pPr>
              <w:pStyle w:val="TitlePage2"/>
            </w:pPr>
            <w:r w:rsidRPr="00CB6345">
              <w:t>CITATION</w:t>
            </w:r>
          </w:p>
        </w:tc>
        <w:tc>
          <w:tcPr>
            <w:tcW w:w="2916" w:type="pct"/>
            <w:hideMark/>
          </w:tcPr>
          <w:p w14:paraId="0173BB7C" w14:textId="610E917B" w:rsidR="00057004" w:rsidRPr="00744127" w:rsidRDefault="00ED44FD" w:rsidP="00744127">
            <w:pPr>
              <w:pStyle w:val="TitlePagetext"/>
              <w:rPr>
                <w:noProof/>
              </w:rPr>
            </w:pPr>
            <w:r w:rsidRPr="00CB6345">
              <w:rPr>
                <w:noProof/>
              </w:rPr>
              <w:t>Swarminatha</w:t>
            </w:r>
            <w:r w:rsidRPr="00CB6345">
              <w:t xml:space="preserve"> v </w:t>
            </w:r>
            <w:r w:rsidRPr="00CB6345">
              <w:rPr>
                <w:noProof/>
              </w:rPr>
              <w:t xml:space="preserve">Monash CC [2020] VCAT </w:t>
            </w:r>
            <w:r w:rsidR="00B96B64">
              <w:rPr>
                <w:noProof/>
              </w:rPr>
              <w:t>357</w:t>
            </w:r>
          </w:p>
        </w:tc>
      </w:tr>
    </w:tbl>
    <w:p w14:paraId="3152016D" w14:textId="77777777" w:rsidR="00057004" w:rsidRDefault="00057004" w:rsidP="00057004"/>
    <w:p w14:paraId="320D89AA" w14:textId="77777777" w:rsidR="00057004" w:rsidRDefault="00057004" w:rsidP="00057004">
      <w:pPr>
        <w:pStyle w:val="Heading1"/>
      </w:pPr>
      <w:r>
        <w:t>Order</w:t>
      </w:r>
    </w:p>
    <w:p w14:paraId="4C671B25" w14:textId="77777777" w:rsidR="007B785E" w:rsidRPr="007B785E" w:rsidRDefault="007B785E" w:rsidP="007B785E">
      <w:pPr>
        <w:pStyle w:val="Heading3"/>
      </w:pPr>
      <w:r w:rsidRPr="00CB6345">
        <w:t>Permit application amended</w:t>
      </w:r>
    </w:p>
    <w:p w14:paraId="41A5E57C" w14:textId="77777777" w:rsidR="007B785E" w:rsidRDefault="007B785E" w:rsidP="007B785E">
      <w:pPr>
        <w:pStyle w:val="Order2"/>
      </w:pPr>
      <w:r>
        <w:rPr>
          <w:lang w:val="en-GB"/>
        </w:rPr>
        <w:t xml:space="preserve">Pursuant to clause 64 of Schedule 1 of the </w:t>
      </w:r>
      <w:r>
        <w:rPr>
          <w:i/>
          <w:lang w:val="en-GB"/>
        </w:rPr>
        <w:t xml:space="preserve">Victorian Civil &amp; Administrative Tribunal Act </w:t>
      </w:r>
      <w:r w:rsidRPr="009D32E1">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6"/>
        <w:gridCol w:w="5029"/>
      </w:tblGrid>
      <w:tr w:rsidR="007B785E" w14:paraId="4EAC1838" w14:textId="77777777" w:rsidTr="00F00D48">
        <w:tc>
          <w:tcPr>
            <w:tcW w:w="3528" w:type="dxa"/>
            <w:shd w:val="clear" w:color="auto" w:fill="auto"/>
          </w:tcPr>
          <w:p w14:paraId="14618D4F" w14:textId="77777777" w:rsidR="007B785E" w:rsidRDefault="007B785E" w:rsidP="00F00D48">
            <w:pPr>
              <w:pStyle w:val="Para5"/>
            </w:pPr>
            <w:r>
              <w:t>Prepared by:</w:t>
            </w:r>
          </w:p>
        </w:tc>
        <w:tc>
          <w:tcPr>
            <w:tcW w:w="5193" w:type="dxa"/>
            <w:shd w:val="clear" w:color="auto" w:fill="auto"/>
          </w:tcPr>
          <w:p w14:paraId="7D76B935" w14:textId="1F2ADE4E" w:rsidR="007B785E" w:rsidRDefault="00CB6345" w:rsidP="00F00D48">
            <w:pPr>
              <w:pStyle w:val="Para2"/>
              <w:ind w:left="0"/>
            </w:pPr>
            <w:r>
              <w:t>Simon Shaw Architect</w:t>
            </w:r>
          </w:p>
        </w:tc>
      </w:tr>
      <w:tr w:rsidR="007B785E" w14:paraId="07A74741" w14:textId="77777777" w:rsidTr="00F00D48">
        <w:tc>
          <w:tcPr>
            <w:tcW w:w="3528" w:type="dxa"/>
            <w:shd w:val="clear" w:color="auto" w:fill="auto"/>
          </w:tcPr>
          <w:p w14:paraId="3B2A00D3" w14:textId="77777777" w:rsidR="007B785E" w:rsidRDefault="007B785E" w:rsidP="00F00D48">
            <w:pPr>
              <w:pStyle w:val="Para5"/>
            </w:pPr>
            <w:r>
              <w:t>Drawing numbers:</w:t>
            </w:r>
          </w:p>
        </w:tc>
        <w:tc>
          <w:tcPr>
            <w:tcW w:w="5193" w:type="dxa"/>
            <w:shd w:val="clear" w:color="auto" w:fill="auto"/>
          </w:tcPr>
          <w:p w14:paraId="556E6861" w14:textId="4881937A" w:rsidR="007B785E" w:rsidRDefault="00CB6345" w:rsidP="00F00D48">
            <w:pPr>
              <w:pStyle w:val="Para2"/>
              <w:ind w:left="0"/>
            </w:pPr>
            <w:r>
              <w:t>01 – 07 (inclusive)</w:t>
            </w:r>
          </w:p>
        </w:tc>
      </w:tr>
      <w:tr w:rsidR="007B785E" w14:paraId="5FAA7F3B" w14:textId="77777777" w:rsidTr="00F00D48">
        <w:tc>
          <w:tcPr>
            <w:tcW w:w="3528" w:type="dxa"/>
            <w:shd w:val="clear" w:color="auto" w:fill="auto"/>
          </w:tcPr>
          <w:p w14:paraId="37653F50" w14:textId="77777777" w:rsidR="007B785E" w:rsidRDefault="007B785E" w:rsidP="00F00D48">
            <w:pPr>
              <w:pStyle w:val="Para5"/>
            </w:pPr>
            <w:r>
              <w:t>Dated:</w:t>
            </w:r>
          </w:p>
        </w:tc>
        <w:tc>
          <w:tcPr>
            <w:tcW w:w="5193" w:type="dxa"/>
            <w:shd w:val="clear" w:color="auto" w:fill="auto"/>
          </w:tcPr>
          <w:p w14:paraId="423AAA77" w14:textId="2B1BEE97" w:rsidR="007B785E" w:rsidRDefault="00CB6345" w:rsidP="00F00D48">
            <w:pPr>
              <w:pStyle w:val="Para2"/>
              <w:ind w:left="0"/>
            </w:pPr>
            <w:r>
              <w:t xml:space="preserve">Undated (but attached to the application to amend the permit application filed </w:t>
            </w:r>
            <w:r w:rsidR="00A84F33">
              <w:t xml:space="preserve">with the Tribunal </w:t>
            </w:r>
            <w:r>
              <w:t>on 17 December 2019)</w:t>
            </w:r>
          </w:p>
        </w:tc>
      </w:tr>
    </w:tbl>
    <w:p w14:paraId="4CBE8C84" w14:textId="77777777" w:rsidR="00057004" w:rsidRDefault="00DD6C29" w:rsidP="00057004">
      <w:pPr>
        <w:pStyle w:val="Heading3"/>
      </w:pPr>
      <w:r>
        <w:t>Decision affirmed</w:t>
      </w:r>
    </w:p>
    <w:p w14:paraId="45218C07" w14:textId="73704B27" w:rsidR="00057004" w:rsidRDefault="00CB6345" w:rsidP="00517ECD">
      <w:pPr>
        <w:pStyle w:val="Order2"/>
      </w:pPr>
      <w:r>
        <w:t>T</w:t>
      </w:r>
      <w:r w:rsidR="00057004">
        <w:t>he decision of the responsible authority is affirmed.</w:t>
      </w:r>
    </w:p>
    <w:p w14:paraId="3305CDD9" w14:textId="23F5B436" w:rsidR="00DD6C29" w:rsidRDefault="00F31DF7" w:rsidP="00DD6C29">
      <w:pPr>
        <w:pStyle w:val="Heading3"/>
      </w:pPr>
      <w:r>
        <w:rPr>
          <w:noProof/>
        </w:rPr>
        <w:lastRenderedPageBreak/>
        <w:drawing>
          <wp:anchor distT="0" distB="0" distL="114300" distR="114300" simplePos="0" relativeHeight="251659264" behindDoc="1" locked="0" layoutInCell="1" allowOverlap="1" wp14:anchorId="240F419A" wp14:editId="7D43E356">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D6C29">
        <w:t>No permit granted</w:t>
      </w:r>
    </w:p>
    <w:p w14:paraId="00B6C77E" w14:textId="6C92E10F" w:rsidR="00057004" w:rsidRDefault="00057004" w:rsidP="00517ECD">
      <w:pPr>
        <w:pStyle w:val="Order2"/>
      </w:pPr>
      <w:r>
        <w:t xml:space="preserve">In planning permit application </w:t>
      </w:r>
      <w:r w:rsidR="00CB6345" w:rsidRPr="000D4C3A">
        <w:t>TPA/50010</w:t>
      </w:r>
      <w:r w:rsidR="00CB6345">
        <w:t xml:space="preserve"> </w:t>
      </w:r>
      <w:r>
        <w:t>no permit is granted.</w:t>
      </w:r>
    </w:p>
    <w:p w14:paraId="3D5625C4" w14:textId="59D0E499" w:rsidR="00057004" w:rsidRDefault="00057004" w:rsidP="00057004"/>
    <w:p w14:paraId="3DDEAE01" w14:textId="22C62FD6" w:rsidR="00CB6345" w:rsidRDefault="00CB6345" w:rsidP="00057004"/>
    <w:p w14:paraId="2825E58F" w14:textId="77777777" w:rsidR="00CB6345" w:rsidRDefault="00CB6345" w:rsidP="00057004"/>
    <w:p w14:paraId="2CF394EA" w14:textId="77777777" w:rsidR="00057004" w:rsidRDefault="00057004" w:rsidP="00057004"/>
    <w:p w14:paraId="17A49E24" w14:textId="77777777" w:rsidR="00057004" w:rsidRDefault="00057004" w:rsidP="00057004"/>
    <w:tbl>
      <w:tblPr>
        <w:tblW w:w="5000" w:type="pct"/>
        <w:tblLook w:val="0000" w:firstRow="0" w:lastRow="0" w:firstColumn="0" w:lastColumn="0" w:noHBand="0" w:noVBand="0"/>
      </w:tblPr>
      <w:tblGrid>
        <w:gridCol w:w="3562"/>
        <w:gridCol w:w="1936"/>
        <w:gridCol w:w="3007"/>
      </w:tblGrid>
      <w:tr w:rsidR="00057004" w14:paraId="10A2E7C4" w14:textId="77777777" w:rsidTr="00BC190D">
        <w:tc>
          <w:tcPr>
            <w:tcW w:w="2094" w:type="pct"/>
          </w:tcPr>
          <w:p w14:paraId="21538959" w14:textId="77777777" w:rsidR="00057004" w:rsidRPr="00B94D4E" w:rsidRDefault="00DD6C29" w:rsidP="00BC190D">
            <w:bookmarkStart w:id="15" w:name="DELappearances"/>
            <w:r w:rsidRPr="00B94D4E">
              <w:t>Geoffrey Code</w:t>
            </w:r>
          </w:p>
          <w:p w14:paraId="1CC8CCA3" w14:textId="77777777" w:rsidR="00057004" w:rsidRDefault="00DD6C29" w:rsidP="00BC190D">
            <w:pPr>
              <w:tabs>
                <w:tab w:val="left" w:pos="1515"/>
              </w:tabs>
              <w:rPr>
                <w:b/>
              </w:rPr>
            </w:pPr>
            <w:r w:rsidRPr="00B94D4E">
              <w:rPr>
                <w:b/>
              </w:rPr>
              <w:t xml:space="preserve">Senior </w:t>
            </w:r>
            <w:r w:rsidR="00057004" w:rsidRPr="00B94D4E">
              <w:rPr>
                <w:b/>
              </w:rPr>
              <w:t>Member</w:t>
            </w:r>
          </w:p>
        </w:tc>
        <w:tc>
          <w:tcPr>
            <w:tcW w:w="1138" w:type="pct"/>
          </w:tcPr>
          <w:p w14:paraId="5E5F509F" w14:textId="77777777" w:rsidR="00057004" w:rsidRDefault="00057004" w:rsidP="00BC190D"/>
        </w:tc>
        <w:tc>
          <w:tcPr>
            <w:tcW w:w="1768" w:type="pct"/>
          </w:tcPr>
          <w:p w14:paraId="09A4C193" w14:textId="77777777" w:rsidR="00057004" w:rsidRDefault="00057004" w:rsidP="00BC190D"/>
        </w:tc>
      </w:tr>
    </w:tbl>
    <w:p w14:paraId="54A208FE" w14:textId="77777777" w:rsidR="00057004" w:rsidRDefault="00057004" w:rsidP="00057004"/>
    <w:p w14:paraId="673FDA5A" w14:textId="77777777" w:rsidR="00057004" w:rsidRDefault="00057004" w:rsidP="00057004"/>
    <w:bookmarkEnd w:id="15"/>
    <w:p w14:paraId="17A8A5FC" w14:textId="77777777" w:rsidR="00057004" w:rsidRDefault="00057004" w:rsidP="00057004">
      <w:pPr>
        <w:pStyle w:val="Heading1"/>
        <w:rPr>
          <w:highlight w:val="yellow"/>
        </w:rPr>
      </w:pPr>
      <w:r>
        <w:t>Appearances</w:t>
      </w:r>
    </w:p>
    <w:tbl>
      <w:tblPr>
        <w:tblW w:w="5000" w:type="pct"/>
        <w:tblLook w:val="04A0" w:firstRow="1" w:lastRow="0" w:firstColumn="1" w:lastColumn="0" w:noHBand="0" w:noVBand="1"/>
      </w:tblPr>
      <w:tblGrid>
        <w:gridCol w:w="3441"/>
        <w:gridCol w:w="5064"/>
      </w:tblGrid>
      <w:tr w:rsidR="000D4C3A" w14:paraId="1A658590" w14:textId="77777777" w:rsidTr="00BC190D">
        <w:trPr>
          <w:cantSplit/>
        </w:trPr>
        <w:tc>
          <w:tcPr>
            <w:tcW w:w="2023" w:type="pct"/>
            <w:hideMark/>
          </w:tcPr>
          <w:p w14:paraId="3BF46E9E" w14:textId="77777777" w:rsidR="000D4C3A" w:rsidRPr="00D660C2" w:rsidRDefault="000D4C3A" w:rsidP="000D4C3A">
            <w:pPr>
              <w:pStyle w:val="TitlePagetext"/>
            </w:pPr>
            <w:r>
              <w:rPr>
                <w:noProof/>
              </w:rPr>
              <w:t xml:space="preserve">For </w:t>
            </w:r>
            <w:r w:rsidRPr="00D47B96">
              <w:rPr>
                <w:noProof/>
              </w:rPr>
              <w:t>Sankaran Swarminatha</w:t>
            </w:r>
          </w:p>
        </w:tc>
        <w:tc>
          <w:tcPr>
            <w:tcW w:w="2977" w:type="pct"/>
          </w:tcPr>
          <w:p w14:paraId="7C350DF6" w14:textId="6F72227E" w:rsidR="000D4C3A" w:rsidRPr="00B43096" w:rsidRDefault="00ED44FD" w:rsidP="000D4C3A">
            <w:pPr>
              <w:pStyle w:val="TitlePagetext"/>
            </w:pPr>
            <w:r>
              <w:t xml:space="preserve">Mr Glenn Kell, town planner, </w:t>
            </w:r>
            <w:r w:rsidR="00CB6345">
              <w:t>Planning Central</w:t>
            </w:r>
          </w:p>
        </w:tc>
      </w:tr>
      <w:tr w:rsidR="000D4C3A" w14:paraId="777A0134" w14:textId="77777777" w:rsidTr="00BC190D">
        <w:trPr>
          <w:cantSplit/>
        </w:trPr>
        <w:tc>
          <w:tcPr>
            <w:tcW w:w="2023" w:type="pct"/>
            <w:hideMark/>
          </w:tcPr>
          <w:p w14:paraId="43C1AE11" w14:textId="77777777" w:rsidR="000D4C3A" w:rsidRPr="00D660C2" w:rsidRDefault="000D4C3A" w:rsidP="000D4C3A">
            <w:pPr>
              <w:pStyle w:val="TitlePagetext"/>
            </w:pPr>
            <w:r>
              <w:rPr>
                <w:noProof/>
              </w:rPr>
              <w:t xml:space="preserve">For </w:t>
            </w:r>
            <w:r w:rsidRPr="00D47B96">
              <w:rPr>
                <w:noProof/>
              </w:rPr>
              <w:t>Monash City Council</w:t>
            </w:r>
          </w:p>
        </w:tc>
        <w:tc>
          <w:tcPr>
            <w:tcW w:w="2977" w:type="pct"/>
          </w:tcPr>
          <w:p w14:paraId="3D761E6D" w14:textId="1552CE13" w:rsidR="000D4C3A" w:rsidRDefault="00ED44FD" w:rsidP="000D4C3A">
            <w:pPr>
              <w:pStyle w:val="TitlePagetext"/>
            </w:pPr>
            <w:bookmarkStart w:id="16" w:name="APPres"/>
            <w:bookmarkEnd w:id="16"/>
            <w:r>
              <w:t xml:space="preserve">Mr Gerard Gilfedder, town planner, Currie </w:t>
            </w:r>
            <w:r w:rsidR="00CB6345">
              <w:t>&amp;  Brown (Australia) Pty Ltd</w:t>
            </w:r>
          </w:p>
        </w:tc>
      </w:tr>
    </w:tbl>
    <w:p w14:paraId="1E8D1E48" w14:textId="77777777" w:rsidR="00057004" w:rsidRDefault="00057004" w:rsidP="00057004">
      <w:r>
        <w:br w:type="page"/>
      </w:r>
    </w:p>
    <w:p w14:paraId="26CF6356" w14:textId="2229CD02" w:rsidR="00057004" w:rsidRDefault="00F31DF7" w:rsidP="00057004">
      <w:pPr>
        <w:pStyle w:val="Heading1"/>
        <w:rPr>
          <w:highlight w:val="yellow"/>
        </w:rPr>
      </w:pPr>
      <w:r>
        <w:rPr>
          <w:noProof/>
        </w:rPr>
        <w:lastRenderedPageBreak/>
        <w:drawing>
          <wp:anchor distT="0" distB="0" distL="114300" distR="114300" simplePos="0" relativeHeight="251660288" behindDoc="1" locked="0" layoutInCell="1" allowOverlap="1" wp14:anchorId="38AA7BFA" wp14:editId="671E80A8">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57004">
        <w:t>Information</w:t>
      </w:r>
    </w:p>
    <w:tbl>
      <w:tblPr>
        <w:tblW w:w="5000" w:type="pct"/>
        <w:tblLook w:val="0000" w:firstRow="0" w:lastRow="0" w:firstColumn="0" w:lastColumn="0" w:noHBand="0" w:noVBand="0"/>
      </w:tblPr>
      <w:tblGrid>
        <w:gridCol w:w="3273"/>
        <w:gridCol w:w="5232"/>
      </w:tblGrid>
      <w:tr w:rsidR="00057004" w14:paraId="47657D07" w14:textId="77777777" w:rsidTr="00BC190D">
        <w:trPr>
          <w:cantSplit/>
        </w:trPr>
        <w:tc>
          <w:tcPr>
            <w:tcW w:w="1924" w:type="pct"/>
          </w:tcPr>
          <w:p w14:paraId="7D22900A" w14:textId="77777777" w:rsidR="00057004" w:rsidRDefault="00DD6C29" w:rsidP="00BC190D">
            <w:pPr>
              <w:pStyle w:val="TitlePagetext"/>
            </w:pPr>
            <w:r>
              <w:t>Brief d</w:t>
            </w:r>
            <w:r w:rsidR="00057004">
              <w:t>escription of proposal</w:t>
            </w:r>
          </w:p>
        </w:tc>
        <w:tc>
          <w:tcPr>
            <w:tcW w:w="3076" w:type="pct"/>
          </w:tcPr>
          <w:p w14:paraId="31FCB982" w14:textId="7C97BA11" w:rsidR="00057004" w:rsidRPr="00851E10" w:rsidRDefault="00ED44FD" w:rsidP="00BC190D">
            <w:pPr>
              <w:pStyle w:val="TitlePagetext"/>
            </w:pPr>
            <w:r>
              <w:t xml:space="preserve">Construction of </w:t>
            </w:r>
            <w:r w:rsidR="00CB6345">
              <w:t>a</w:t>
            </w:r>
            <w:r>
              <w:t xml:space="preserve"> single-storey dwellings</w:t>
            </w:r>
            <w:r w:rsidR="00CB6345">
              <w:t xml:space="preserve"> behind an existing dwelling and alterations to the existing dwelling</w:t>
            </w:r>
            <w:r w:rsidR="006762EE">
              <w:t xml:space="preserve"> and subdivide the land into two lots</w:t>
            </w:r>
          </w:p>
        </w:tc>
      </w:tr>
      <w:tr w:rsidR="00057004" w14:paraId="692AB2A6" w14:textId="77777777" w:rsidTr="00BC190D">
        <w:trPr>
          <w:cantSplit/>
        </w:trPr>
        <w:tc>
          <w:tcPr>
            <w:tcW w:w="1924" w:type="pct"/>
          </w:tcPr>
          <w:p w14:paraId="1B7A565A" w14:textId="77777777" w:rsidR="00057004" w:rsidRDefault="00057004" w:rsidP="00BC190D">
            <w:pPr>
              <w:pStyle w:val="TitlePagetext"/>
            </w:pPr>
            <w:r>
              <w:t>Nature of proceeding</w:t>
            </w:r>
          </w:p>
        </w:tc>
        <w:tc>
          <w:tcPr>
            <w:tcW w:w="3076" w:type="pct"/>
          </w:tcPr>
          <w:p w14:paraId="3F4F883F" w14:textId="77777777" w:rsidR="00057004" w:rsidRPr="00851E10" w:rsidRDefault="00057004" w:rsidP="00BC190D">
            <w:pPr>
              <w:pStyle w:val="TitlePagetext"/>
            </w:pPr>
            <w:r>
              <w:t xml:space="preserve">Application under section 77 of the </w:t>
            </w:r>
            <w:r>
              <w:rPr>
                <w:i/>
              </w:rPr>
              <w:t>Planning and Environment Act 1987</w:t>
            </w:r>
            <w:r>
              <w:t xml:space="preserve"> – to review the refusal to grant a permit</w:t>
            </w:r>
          </w:p>
        </w:tc>
      </w:tr>
      <w:tr w:rsidR="00057004" w14:paraId="43A5B908" w14:textId="77777777" w:rsidTr="00BC190D">
        <w:trPr>
          <w:cantSplit/>
        </w:trPr>
        <w:tc>
          <w:tcPr>
            <w:tcW w:w="1924" w:type="pct"/>
          </w:tcPr>
          <w:p w14:paraId="26147B60" w14:textId="77777777" w:rsidR="00057004" w:rsidRPr="005C699E" w:rsidRDefault="00057004" w:rsidP="00BC190D">
            <w:pPr>
              <w:pStyle w:val="TitlePagetext"/>
            </w:pPr>
            <w:r>
              <w:t>Planning scheme</w:t>
            </w:r>
          </w:p>
        </w:tc>
        <w:tc>
          <w:tcPr>
            <w:tcW w:w="3076" w:type="pct"/>
          </w:tcPr>
          <w:p w14:paraId="7ACDC905" w14:textId="77777777" w:rsidR="00057004" w:rsidRPr="00851E10" w:rsidRDefault="000D4C3A" w:rsidP="00BC190D">
            <w:pPr>
              <w:pStyle w:val="TitlePagetext"/>
            </w:pPr>
            <w:r>
              <w:t xml:space="preserve">Monash </w:t>
            </w:r>
            <w:r w:rsidR="00B94D4E">
              <w:t>Planning Scheme</w:t>
            </w:r>
          </w:p>
        </w:tc>
      </w:tr>
      <w:tr w:rsidR="00057004" w14:paraId="06D4DFF3" w14:textId="77777777" w:rsidTr="00BC190D">
        <w:trPr>
          <w:cantSplit/>
        </w:trPr>
        <w:tc>
          <w:tcPr>
            <w:tcW w:w="1924" w:type="pct"/>
          </w:tcPr>
          <w:p w14:paraId="47B83741" w14:textId="77777777" w:rsidR="00057004" w:rsidRDefault="00057004" w:rsidP="00BC190D">
            <w:pPr>
              <w:pStyle w:val="TitlePagetext"/>
            </w:pPr>
            <w:r w:rsidRPr="005C699E">
              <w:t xml:space="preserve">Zone and </w:t>
            </w:r>
            <w:r>
              <w:t>o</w:t>
            </w:r>
            <w:r w:rsidRPr="005C699E">
              <w:t>verlays</w:t>
            </w:r>
          </w:p>
        </w:tc>
        <w:tc>
          <w:tcPr>
            <w:tcW w:w="3076" w:type="pct"/>
          </w:tcPr>
          <w:p w14:paraId="28094626" w14:textId="6270626E" w:rsidR="006C3A6F" w:rsidRPr="00851E10" w:rsidRDefault="006762EE" w:rsidP="00BC190D">
            <w:pPr>
              <w:pStyle w:val="TitlePagetext"/>
            </w:pPr>
            <w:r>
              <w:t xml:space="preserve">General Residential </w:t>
            </w:r>
            <w:r w:rsidR="006C3A6F">
              <w:t>Zone</w:t>
            </w:r>
            <w:r w:rsidR="004E3E68">
              <w:t xml:space="preserve"> (</w:t>
            </w:r>
            <w:r w:rsidR="004E3E68" w:rsidRPr="00A84F33">
              <w:rPr>
                <w:b/>
                <w:bCs/>
              </w:rPr>
              <w:t>GRZ</w:t>
            </w:r>
            <w:r w:rsidR="004E3E68">
              <w:t>) Schedule 2</w:t>
            </w:r>
            <w:r w:rsidR="00A84F33">
              <w:t xml:space="preserve"> </w:t>
            </w:r>
            <w:r w:rsidR="004E3E68">
              <w:t>(</w:t>
            </w:r>
            <w:r w:rsidR="004E3E68" w:rsidRPr="00A84F33">
              <w:rPr>
                <w:i/>
                <w:iCs/>
              </w:rPr>
              <w:t>Monash Residential Areas</w:t>
            </w:r>
            <w:r w:rsidR="004E3E68">
              <w:t>) (</w:t>
            </w:r>
            <w:r w:rsidR="004E3E68" w:rsidRPr="00A84F33">
              <w:rPr>
                <w:b/>
                <w:bCs/>
              </w:rPr>
              <w:t>GRZ2</w:t>
            </w:r>
            <w:r w:rsidR="004E3E68">
              <w:t>)</w:t>
            </w:r>
          </w:p>
        </w:tc>
      </w:tr>
      <w:tr w:rsidR="00057004" w14:paraId="3C8708F7" w14:textId="77777777" w:rsidTr="00BC190D">
        <w:trPr>
          <w:cantSplit/>
        </w:trPr>
        <w:tc>
          <w:tcPr>
            <w:tcW w:w="1924" w:type="pct"/>
          </w:tcPr>
          <w:p w14:paraId="2FA0187A" w14:textId="77777777" w:rsidR="00057004" w:rsidRPr="005C699E" w:rsidRDefault="00057004" w:rsidP="00BC190D">
            <w:pPr>
              <w:pStyle w:val="TitlePagetext"/>
            </w:pPr>
            <w:r>
              <w:t>Permit requirements</w:t>
            </w:r>
          </w:p>
        </w:tc>
        <w:tc>
          <w:tcPr>
            <w:tcW w:w="3076" w:type="pct"/>
          </w:tcPr>
          <w:p w14:paraId="2BD7BC14" w14:textId="06FE360A" w:rsidR="00057004" w:rsidRDefault="00B94D4E" w:rsidP="00BC190D">
            <w:pPr>
              <w:pStyle w:val="TitlePagetext"/>
            </w:pPr>
            <w:r>
              <w:t>Clause</w:t>
            </w:r>
            <w:r w:rsidR="004E3E68">
              <w:t xml:space="preserve"> 32.08-</w:t>
            </w:r>
            <w:r w:rsidR="00A84F33">
              <w:t>3</w:t>
            </w:r>
            <w:r w:rsidR="00EA014D">
              <w:t xml:space="preserve"> (subdivision</w:t>
            </w:r>
            <w:r w:rsidR="00A84F33">
              <w:t xml:space="preserve"> of land</w:t>
            </w:r>
            <w:r w:rsidR="00EA014D">
              <w:t xml:space="preserve"> in </w:t>
            </w:r>
            <w:r w:rsidR="00EA014D" w:rsidRPr="00B96B64">
              <w:t>GRZ</w:t>
            </w:r>
            <w:r w:rsidR="00EA014D">
              <w:t>)</w:t>
            </w:r>
          </w:p>
          <w:p w14:paraId="0E570C7E" w14:textId="7BDA829A" w:rsidR="00B94D4E" w:rsidRPr="00851E10" w:rsidRDefault="00B94D4E" w:rsidP="00BC190D">
            <w:pPr>
              <w:pStyle w:val="TitlePagetext"/>
            </w:pPr>
            <w:r>
              <w:t>Clause</w:t>
            </w:r>
            <w:r w:rsidR="00EA014D">
              <w:t xml:space="preserve"> 32.08-6 (construction of a dwelling </w:t>
            </w:r>
            <w:r w:rsidR="00A84F33">
              <w:t xml:space="preserve">in </w:t>
            </w:r>
            <w:r w:rsidR="00A84F33" w:rsidRPr="00B96B64">
              <w:t>GRZ</w:t>
            </w:r>
            <w:r w:rsidR="00A84F33">
              <w:t xml:space="preserve"> if there is at least one dwelling existing on the lot)</w:t>
            </w:r>
          </w:p>
        </w:tc>
      </w:tr>
      <w:tr w:rsidR="00057004" w14:paraId="1CE489F7" w14:textId="77777777" w:rsidTr="00BC190D">
        <w:trPr>
          <w:cantSplit/>
        </w:trPr>
        <w:tc>
          <w:tcPr>
            <w:tcW w:w="1924" w:type="pct"/>
          </w:tcPr>
          <w:p w14:paraId="236FBCFE" w14:textId="77777777" w:rsidR="00057004" w:rsidRDefault="00057004" w:rsidP="00BC190D">
            <w:pPr>
              <w:pStyle w:val="TitlePagetext"/>
            </w:pPr>
            <w:r>
              <w:t>Relevant scheme policies and provisions</w:t>
            </w:r>
          </w:p>
        </w:tc>
        <w:tc>
          <w:tcPr>
            <w:tcW w:w="3076" w:type="pct"/>
          </w:tcPr>
          <w:p w14:paraId="10B2228F" w14:textId="469959E0" w:rsidR="00057004" w:rsidRPr="00B94D4E" w:rsidRDefault="00B94D4E" w:rsidP="00BC190D">
            <w:pPr>
              <w:pStyle w:val="TitlePagetext"/>
            </w:pPr>
            <w:r w:rsidRPr="00B94D4E">
              <w:t xml:space="preserve">Clauses </w:t>
            </w:r>
            <w:r w:rsidR="00EA014D">
              <w:t>11, 15, 16, 21.01, 21.04, 21.06, 22.01, 22.04, 22.05, 32.08, 52.06, 55, 56, 65 &amp; 71.02</w:t>
            </w:r>
          </w:p>
        </w:tc>
      </w:tr>
      <w:tr w:rsidR="006C3A6F" w14:paraId="405317A3" w14:textId="77777777" w:rsidTr="00BC190D">
        <w:trPr>
          <w:cantSplit/>
        </w:trPr>
        <w:tc>
          <w:tcPr>
            <w:tcW w:w="1924" w:type="pct"/>
          </w:tcPr>
          <w:p w14:paraId="0689236D" w14:textId="77777777" w:rsidR="006C3A6F" w:rsidRDefault="006C3A6F" w:rsidP="00BC190D">
            <w:pPr>
              <w:pStyle w:val="TitlePagetext"/>
            </w:pPr>
            <w:r>
              <w:t>Background documents</w:t>
            </w:r>
          </w:p>
        </w:tc>
        <w:tc>
          <w:tcPr>
            <w:tcW w:w="3076" w:type="pct"/>
          </w:tcPr>
          <w:p w14:paraId="47984D56" w14:textId="77777777" w:rsidR="008C4D99" w:rsidRDefault="008C4D99" w:rsidP="00BC190D">
            <w:pPr>
              <w:pStyle w:val="TitlePagetext"/>
            </w:pPr>
            <w:r>
              <w:t>Plan Melbourne</w:t>
            </w:r>
          </w:p>
          <w:p w14:paraId="5620B881" w14:textId="6EE7A455" w:rsidR="006C3A6F" w:rsidRPr="00851E10" w:rsidRDefault="00FB6AF0" w:rsidP="00BC190D">
            <w:pPr>
              <w:pStyle w:val="TitlePagetext"/>
            </w:pPr>
            <w:r>
              <w:t>Monash Housing Strategy 2014</w:t>
            </w:r>
          </w:p>
        </w:tc>
      </w:tr>
      <w:tr w:rsidR="00057004" w14:paraId="54C3CAF1" w14:textId="77777777" w:rsidTr="00BC190D">
        <w:trPr>
          <w:cantSplit/>
        </w:trPr>
        <w:tc>
          <w:tcPr>
            <w:tcW w:w="1924" w:type="pct"/>
          </w:tcPr>
          <w:p w14:paraId="4EBE9BD6" w14:textId="77777777" w:rsidR="00057004" w:rsidRDefault="00057004" w:rsidP="00BC190D">
            <w:pPr>
              <w:pStyle w:val="TitlePagetext"/>
            </w:pPr>
            <w:r>
              <w:t>Land description</w:t>
            </w:r>
          </w:p>
        </w:tc>
        <w:tc>
          <w:tcPr>
            <w:tcW w:w="3076" w:type="pct"/>
          </w:tcPr>
          <w:p w14:paraId="016D2F7F" w14:textId="6AB9E9FA" w:rsidR="00057004" w:rsidRPr="00851E10" w:rsidRDefault="006762EE" w:rsidP="00BC190D">
            <w:pPr>
              <w:pStyle w:val="TitlePagetext"/>
            </w:pPr>
            <w:r>
              <w:t>The land is on the east side of Springvale Road, about 25 metres south of Clunies Ross Crescent</w:t>
            </w:r>
            <w:r w:rsidR="004E3E68">
              <w:t xml:space="preserve">, about 4 km south of Glen Waverley activity centre.  </w:t>
            </w:r>
            <w:r>
              <w:t>It is irregular in shape with a frontage of 16.76 metres</w:t>
            </w:r>
            <w:r w:rsidR="00B96B64">
              <w:t xml:space="preserve"> and </w:t>
            </w:r>
            <w:r>
              <w:t>a depth about 43 metres to the easternmost point of a triangle at the rear of the land.  It has an area of about 660 square metres.  The land is developed with a single storey brick veneer dwelling and</w:t>
            </w:r>
            <w:r w:rsidR="004E3E68">
              <w:t xml:space="preserve"> at the rear of that dwelling, what the Council describes as</w:t>
            </w:r>
            <w:r>
              <w:t xml:space="preserve"> </w:t>
            </w:r>
            <w:r w:rsidR="004E3E68">
              <w:t>a ‘habitable outbuilding’.</w:t>
            </w:r>
          </w:p>
        </w:tc>
      </w:tr>
    </w:tbl>
    <w:p w14:paraId="19C017F0" w14:textId="77777777" w:rsidR="00057004" w:rsidRDefault="00057004" w:rsidP="00057004">
      <w:pPr>
        <w:pStyle w:val="Order1"/>
      </w:pPr>
    </w:p>
    <w:p w14:paraId="796312D9" w14:textId="1AAACFC9" w:rsidR="00057004" w:rsidRDefault="00057004" w:rsidP="00057004">
      <w:pPr>
        <w:pStyle w:val="Heading1"/>
      </w:pPr>
      <w:r>
        <w:br w:type="page"/>
      </w:r>
      <w:r w:rsidR="00F31DF7">
        <w:rPr>
          <w:noProof/>
        </w:rPr>
        <w:lastRenderedPageBreak/>
        <w:drawing>
          <wp:anchor distT="0" distB="0" distL="114300" distR="114300" simplePos="0" relativeHeight="251661312" behindDoc="1" locked="0" layoutInCell="1" allowOverlap="1" wp14:anchorId="25F21E39" wp14:editId="22D9E7E7">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59FD23AC" w14:textId="6C25A30F" w:rsidR="000E7B0E" w:rsidRDefault="000E7B0E" w:rsidP="00057004">
      <w:pPr>
        <w:pStyle w:val="Para1"/>
      </w:pPr>
      <w:r>
        <w:t>The subject land is developed with a single-storey</w:t>
      </w:r>
      <w:r w:rsidR="00086DE8">
        <w:t>,</w:t>
      </w:r>
      <w:r>
        <w:t xml:space="preserve"> three-bedroom detached dwelling.  In the backyard is what may be described as a ‘sleep out’ or ‘habitable outbuilding’ of about 35 square metres floor area.</w:t>
      </w:r>
    </w:p>
    <w:p w14:paraId="65F748D9" w14:textId="7951F97A" w:rsidR="00C03203" w:rsidRDefault="00EA014D" w:rsidP="00057004">
      <w:pPr>
        <w:pStyle w:val="Para1"/>
      </w:pPr>
      <w:r>
        <w:t xml:space="preserve">The applicant </w:t>
      </w:r>
      <w:r w:rsidR="00C03203">
        <w:t>proposes</w:t>
      </w:r>
      <w:r>
        <w:t xml:space="preserve"> to alter and extend </w:t>
      </w:r>
      <w:r w:rsidR="00685204">
        <w:t xml:space="preserve">the </w:t>
      </w:r>
      <w:r>
        <w:t xml:space="preserve">‘sleep out’ </w:t>
      </w:r>
      <w:r w:rsidR="00685204">
        <w:t>to create a detached two-bedroom dwelling and to alter the existing dwelling to create a two-bedroom dwelling.</w:t>
      </w:r>
    </w:p>
    <w:p w14:paraId="2EA40659" w14:textId="27AA4C11" w:rsidR="00C03203" w:rsidRDefault="00C03203" w:rsidP="00057004">
      <w:pPr>
        <w:pStyle w:val="Para1"/>
      </w:pPr>
      <w:r>
        <w:t>As part of these changes, t</w:t>
      </w:r>
      <w:r w:rsidR="00685204">
        <w:t xml:space="preserve">he </w:t>
      </w:r>
      <w:r w:rsidR="00FB6AF0">
        <w:t xml:space="preserve">applicant </w:t>
      </w:r>
      <w:r w:rsidR="00A84F33">
        <w:t xml:space="preserve">also </w:t>
      </w:r>
      <w:r>
        <w:t>proposes</w:t>
      </w:r>
      <w:r w:rsidR="00FB6AF0">
        <w:t xml:space="preserve"> to demolish the existing dwelling’s </w:t>
      </w:r>
      <w:r w:rsidR="00685204">
        <w:t xml:space="preserve">carport </w:t>
      </w:r>
      <w:r w:rsidR="00FB6AF0">
        <w:t>and construct two new single ca</w:t>
      </w:r>
      <w:r w:rsidR="00B96B64">
        <w:t>r</w:t>
      </w:r>
      <w:r w:rsidR="00FB6AF0">
        <w:t>ports (under single car port roof) for each dwelling</w:t>
      </w:r>
      <w:r>
        <w:t>.  The new carports are</w:t>
      </w:r>
      <w:r w:rsidR="00FB6AF0">
        <w:t xml:space="preserve"> located also on the north side of the existing dwelling and set back 9.7 metres from the street and projecting about one metre in front of the façade of the existing dwelling.</w:t>
      </w:r>
    </w:p>
    <w:p w14:paraId="327213A8" w14:textId="3BCDEF3F" w:rsidR="00685204" w:rsidRDefault="00C03203" w:rsidP="00057004">
      <w:pPr>
        <w:pStyle w:val="Para1"/>
      </w:pPr>
      <w:r>
        <w:t>Pedestrian access to the dwelling at the rear is via a one metre wide</w:t>
      </w:r>
      <w:r w:rsidR="004D3934">
        <w:t xml:space="preserve"> path between the two carports that includes a gate with intercom.  Pedestrian access to the dwelling at the front is relocated from a door facing north behind a front bedroom to a new door facing the street located in that front bedroom that is remodelled as part entrance and part carport.</w:t>
      </w:r>
    </w:p>
    <w:p w14:paraId="6DE1A719" w14:textId="7E55E65B" w:rsidR="00EA014D" w:rsidRDefault="00EA014D" w:rsidP="00057004">
      <w:pPr>
        <w:pStyle w:val="Para1"/>
      </w:pPr>
      <w:r>
        <w:t xml:space="preserve">The applicant has applied to review a decision by the Monash City Council (the </w:t>
      </w:r>
      <w:r w:rsidRPr="00EA014D">
        <w:rPr>
          <w:b/>
          <w:bCs/>
        </w:rPr>
        <w:t>Council</w:t>
      </w:r>
      <w:r>
        <w:t xml:space="preserve">) to refuse to grant a permit under the </w:t>
      </w:r>
      <w:r w:rsidRPr="00B96B64">
        <w:t xml:space="preserve">Monash Planning Scheme </w:t>
      </w:r>
      <w:r w:rsidR="00B96B64">
        <w:t xml:space="preserve">(the </w:t>
      </w:r>
      <w:r w:rsidR="00B96B64" w:rsidRPr="00B96B64">
        <w:rPr>
          <w:b/>
          <w:bCs/>
        </w:rPr>
        <w:t>Scheme</w:t>
      </w:r>
      <w:r w:rsidR="00B96B64">
        <w:t xml:space="preserve">) </w:t>
      </w:r>
      <w:r>
        <w:t>to carry out th</w:t>
      </w:r>
      <w:r w:rsidR="00CC5F21">
        <w:t>e development</w:t>
      </w:r>
      <w:r>
        <w:t>.</w:t>
      </w:r>
    </w:p>
    <w:p w14:paraId="219D67AA" w14:textId="3C17289D" w:rsidR="00EA014D" w:rsidRDefault="00EA014D" w:rsidP="00057004">
      <w:pPr>
        <w:pStyle w:val="Para1"/>
      </w:pPr>
      <w:r>
        <w:t xml:space="preserve">The Council is correct in accepting that the </w:t>
      </w:r>
      <w:r w:rsidR="000E7B0E">
        <w:t xml:space="preserve">project is a very modest intensification of housing on the subject land and that </w:t>
      </w:r>
      <w:r w:rsidR="00086DE8">
        <w:t xml:space="preserve">the application is supported by </w:t>
      </w:r>
      <w:r w:rsidR="000E7B0E">
        <w:t>State and local policies relating to additional housing</w:t>
      </w:r>
      <w:r w:rsidR="00086DE8" w:rsidRPr="00086DE8">
        <w:t xml:space="preserve"> </w:t>
      </w:r>
      <w:r w:rsidR="00086DE8">
        <w:t>in established areas</w:t>
      </w:r>
      <w:r w:rsidR="000E7B0E">
        <w:t>, housing diversity,</w:t>
      </w:r>
      <w:r w:rsidR="00FB6AF0">
        <w:t xml:space="preserve"> </w:t>
      </w:r>
      <w:r w:rsidR="00086DE8">
        <w:t xml:space="preserve">additional housing </w:t>
      </w:r>
      <w:r w:rsidR="00FB6AF0">
        <w:t xml:space="preserve">in a Principal Public Transport Network Area and </w:t>
      </w:r>
      <w:r w:rsidR="00086DE8">
        <w:t xml:space="preserve">additional housing </w:t>
      </w:r>
      <w:r w:rsidR="00FB6AF0">
        <w:t>along a main road such as Springvale Road.</w:t>
      </w:r>
    </w:p>
    <w:p w14:paraId="63A0D19C" w14:textId="3EC5226B" w:rsidR="00FB6AF0" w:rsidRDefault="00FB6AF0" w:rsidP="00057004">
      <w:pPr>
        <w:pStyle w:val="Para1"/>
      </w:pPr>
      <w:r>
        <w:t xml:space="preserve">The Council’s reasons for refusing a permit relate to the application’s response to character policy, </w:t>
      </w:r>
      <w:r w:rsidRPr="00C03203">
        <w:rPr>
          <w:i/>
          <w:iCs/>
        </w:rPr>
        <w:t>ResCode</w:t>
      </w:r>
      <w:r>
        <w:t xml:space="preserve"> objectives and car parking standards.</w:t>
      </w:r>
      <w:r w:rsidR="00086DE8">
        <w:t xml:space="preserve">  In other words, </w:t>
      </w:r>
      <w:r w:rsidR="00C03203">
        <w:t>the Council</w:t>
      </w:r>
      <w:r w:rsidR="00086DE8">
        <w:t xml:space="preserve"> found the design response in the application to be unsatisfactory.</w:t>
      </w:r>
    </w:p>
    <w:p w14:paraId="675D098D" w14:textId="4F967BF4" w:rsidR="00FB6AF0" w:rsidRDefault="00FB6AF0" w:rsidP="00057004">
      <w:pPr>
        <w:pStyle w:val="Para1"/>
      </w:pPr>
      <w:r>
        <w:t xml:space="preserve">I find the Council made the correct and preferable decision.  This is an example of </w:t>
      </w:r>
      <w:r w:rsidR="00C03203">
        <w:t>when</w:t>
      </w:r>
      <w:r w:rsidR="00064B36">
        <w:t xml:space="preserve"> the retention of an existing dwelling compromises the achievement of an acceptable design for a two-dwelling development.</w:t>
      </w:r>
      <w:r w:rsidR="008C4D99">
        <w:t xml:space="preserve">  In this case, the preference for well-designed and sensitive multi-dwelling development in the preferred character statement for the relevant character area is not achieved.</w:t>
      </w:r>
    </w:p>
    <w:p w14:paraId="1B4D09BB" w14:textId="798A68E2" w:rsidR="00FB6AF0" w:rsidRDefault="001872AB" w:rsidP="00057004">
      <w:pPr>
        <w:pStyle w:val="Para1"/>
      </w:pPr>
      <w:r>
        <w:t>Most of the problems emanate from the two new carports.</w:t>
      </w:r>
    </w:p>
    <w:p w14:paraId="4DE6996A" w14:textId="1A327AFE" w:rsidR="001872AB" w:rsidRDefault="00F31DF7" w:rsidP="00057004">
      <w:pPr>
        <w:pStyle w:val="Para1"/>
      </w:pPr>
      <w:r>
        <w:rPr>
          <w:noProof/>
        </w:rPr>
        <w:lastRenderedPageBreak/>
        <w:drawing>
          <wp:anchor distT="0" distB="0" distL="114300" distR="114300" simplePos="0" relativeHeight="251662336" behindDoc="1" locked="0" layoutInCell="1" allowOverlap="1" wp14:anchorId="1DA51394" wp14:editId="46875C25">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872AB">
        <w:t>Although the carport is a single structure with a tiled pitched roof to match the existing roof of the front dwelling, it is a poor urban design outcome.  As it extends to the south to cover the entry, it is about 10.3 metres wide and dwarfs the façade of the balance of the front dwelling, being only about 4.5 metres.  Its prominence is heightened by its projection about one metre in front of that façade.</w:t>
      </w:r>
    </w:p>
    <w:p w14:paraId="515B7810" w14:textId="5E0FFF62" w:rsidR="008E59E1" w:rsidRDefault="00DA10C1" w:rsidP="00057004">
      <w:pPr>
        <w:pStyle w:val="Para1"/>
      </w:pPr>
      <w:r>
        <w:t xml:space="preserve">The front dwelling’s carport is located immediately abutting its living room.  The wall of that room contains the sole window in that room.  The window is street-facing.  There is no setback of the </w:t>
      </w:r>
      <w:r w:rsidR="00B96B64">
        <w:t>6</w:t>
      </w:r>
      <w:r>
        <w:t xml:space="preserve"> metre long carport from the wall.  This results in non-compliance with the </w:t>
      </w:r>
      <w:r w:rsidRPr="00DA10C1">
        <w:rPr>
          <w:i/>
          <w:iCs/>
        </w:rPr>
        <w:t>ResCode</w:t>
      </w:r>
      <w:r>
        <w:t xml:space="preserve"> daylight to existing windows objective and standard</w:t>
      </w:r>
      <w:r w:rsidR="00CC5F21">
        <w:t xml:space="preserve"> and</w:t>
      </w:r>
      <w:r w:rsidR="00B96B64">
        <w:t xml:space="preserve"> the</w:t>
      </w:r>
      <w:r w:rsidR="00CC5F21">
        <w:t xml:space="preserve"> </w:t>
      </w:r>
      <w:r w:rsidR="00CC5F21" w:rsidRPr="00CC5F21">
        <w:rPr>
          <w:i/>
          <w:iCs/>
        </w:rPr>
        <w:t>ResCode</w:t>
      </w:r>
      <w:r w:rsidR="00CC5F21">
        <w:t xml:space="preserve"> parking location objective</w:t>
      </w:r>
      <w:r>
        <w:t xml:space="preserve">.  It is also a poor internal amenity outcome </w:t>
      </w:r>
      <w:r w:rsidR="008E59E1">
        <w:t>because the presence of a vehicle and carport roof results in</w:t>
      </w:r>
      <w:r>
        <w:t xml:space="preserve"> no effective outloo</w:t>
      </w:r>
      <w:r w:rsidR="008E59E1">
        <w:t>k from the room.</w:t>
      </w:r>
    </w:p>
    <w:p w14:paraId="28B30123" w14:textId="24C399D5" w:rsidR="001872AB" w:rsidRDefault="00DA10C1" w:rsidP="00057004">
      <w:pPr>
        <w:pStyle w:val="Para1"/>
      </w:pPr>
      <w:r>
        <w:t>The applicant sought to address this problem at the hearing by inclu</w:t>
      </w:r>
      <w:r w:rsidR="00B96B64">
        <w:t>ding</w:t>
      </w:r>
      <w:r>
        <w:t xml:space="preserve"> a skylight in the living room</w:t>
      </w:r>
      <w:r w:rsidR="008E59E1">
        <w:t xml:space="preserve">.  This is </w:t>
      </w:r>
      <w:r w:rsidR="00B96B64">
        <w:t xml:space="preserve">an </w:t>
      </w:r>
      <w:r w:rsidR="008E59E1">
        <w:t>unsatisfactory response.</w:t>
      </w:r>
    </w:p>
    <w:p w14:paraId="732CE1EE" w14:textId="663865A4" w:rsidR="00CC5F21" w:rsidRDefault="00CC5F21" w:rsidP="00057004">
      <w:pPr>
        <w:pStyle w:val="Para1"/>
      </w:pPr>
      <w:r>
        <w:t>The pedestrian access to the rear dwelling via the common driveway and between two carport spaces under the carport roof is inconvenient and undesirable.</w:t>
      </w:r>
    </w:p>
    <w:p w14:paraId="794E8BBD" w14:textId="3431835C" w:rsidR="008E59E1" w:rsidRDefault="008E59E1" w:rsidP="00057004">
      <w:pPr>
        <w:pStyle w:val="Para1"/>
      </w:pPr>
      <w:r>
        <w:t xml:space="preserve">The details of the carports are uncertain.  </w:t>
      </w:r>
      <w:r w:rsidR="0059494F">
        <w:t>T</w:t>
      </w:r>
      <w:r>
        <w:t xml:space="preserve">he width </w:t>
      </w:r>
      <w:r w:rsidR="008C4D99">
        <w:t xml:space="preserve">and length of each car space within the carport is </w:t>
      </w:r>
      <w:r>
        <w:t xml:space="preserve">marked on the plans </w:t>
      </w:r>
      <w:r w:rsidR="008C4D99">
        <w:t xml:space="preserve">as </w:t>
      </w:r>
      <w:r>
        <w:t>3.5 metres</w:t>
      </w:r>
      <w:r w:rsidR="008C4D99">
        <w:t xml:space="preserve"> and 6 metres, respectively</w:t>
      </w:r>
      <w:r w:rsidR="0059494F">
        <w:t>.  T</w:t>
      </w:r>
      <w:r>
        <w:t>h</w:t>
      </w:r>
      <w:r w:rsidR="00B96B64">
        <w:t>ese dimensions</w:t>
      </w:r>
      <w:r>
        <w:t xml:space="preserve"> compl</w:t>
      </w:r>
      <w:r w:rsidR="00B96B64">
        <w:t>y</w:t>
      </w:r>
      <w:r>
        <w:t xml:space="preserve"> with the car parking de</w:t>
      </w:r>
      <w:r w:rsidR="0059494F">
        <w:t>sign standard</w:t>
      </w:r>
      <w:r w:rsidR="00B96B64">
        <w:t xml:space="preserve"> in the Scheme</w:t>
      </w:r>
      <w:r w:rsidR="0059494F">
        <w:t>.  However, two problems emerge from the plans.</w:t>
      </w:r>
    </w:p>
    <w:p w14:paraId="2D1AA5EE" w14:textId="77777777" w:rsidR="00CC5F21" w:rsidRDefault="0059494F" w:rsidP="00057004">
      <w:pPr>
        <w:pStyle w:val="Para1"/>
      </w:pPr>
      <w:r>
        <w:t xml:space="preserve">First, it is unclear whether the width of carport 2 would be 3.5 metres.  </w:t>
      </w:r>
      <w:r w:rsidR="00AB53B3">
        <w:t>On drawing no. 03, the width of carport 2 is noticeably narrower than carport 1.  Carport 2 scales at only 3 metres</w:t>
      </w:r>
      <w:r w:rsidR="00AB53B3" w:rsidRPr="00AB53B3">
        <w:t xml:space="preserve"> </w:t>
      </w:r>
      <w:r w:rsidR="00AB53B3">
        <w:t>internal width.</w:t>
      </w:r>
    </w:p>
    <w:p w14:paraId="7C1B1932" w14:textId="47F57021" w:rsidR="0059494F" w:rsidRDefault="00AB53B3" w:rsidP="00057004">
      <w:pPr>
        <w:pStyle w:val="Para1"/>
      </w:pPr>
      <w:r>
        <w:t xml:space="preserve">Second, carport 2 has a chamfered south-east corner that scales at 1.2 metres.  The chamfering creates pedestrian access from the gated passage between the two carport spaces and is needed because there is no </w:t>
      </w:r>
      <w:r w:rsidR="00FE2DC4">
        <w:t xml:space="preserve">carport </w:t>
      </w:r>
      <w:r>
        <w:t xml:space="preserve">setback from the </w:t>
      </w:r>
      <w:r w:rsidR="00FE2DC4">
        <w:t xml:space="preserve">living room of the front dwelling.  The reduction in space in carport 2 does not comply with clearance requirements </w:t>
      </w:r>
      <w:r w:rsidR="00B96B64">
        <w:t xml:space="preserve">in the Scheme </w:t>
      </w:r>
      <w:r w:rsidR="00FE2DC4">
        <w:t>and makes the space inconvenient and with an effective length of only 4.8 metres.</w:t>
      </w:r>
    </w:p>
    <w:p w14:paraId="5B41150C" w14:textId="150615AC" w:rsidR="008C4D99" w:rsidRDefault="008C4D99" w:rsidP="00057004">
      <w:pPr>
        <w:pStyle w:val="Para1"/>
      </w:pPr>
      <w:r>
        <w:t>It is unnecessary to refer to other problems with the design response.  The above carport-related issues are sufficient to warrant affirming the Council’s decision.</w:t>
      </w:r>
      <w:r w:rsidR="00CC5F21">
        <w:t xml:space="preserve">  It suffices to mention there are other problems </w:t>
      </w:r>
      <w:r w:rsidR="00B96B64">
        <w:t>including</w:t>
      </w:r>
      <w:r w:rsidR="00CC5F21">
        <w:t xml:space="preserve"> secluded private open space, poor entry to the rear dwelling, </w:t>
      </w:r>
      <w:r w:rsidR="00B96B64">
        <w:t xml:space="preserve">and </w:t>
      </w:r>
      <w:r w:rsidR="00CC5F21">
        <w:t>external storage</w:t>
      </w:r>
      <w:r w:rsidR="00B96B64">
        <w:t xml:space="preserve">.  </w:t>
      </w:r>
    </w:p>
    <w:p w14:paraId="1DB39521" w14:textId="77777777" w:rsidR="00057004" w:rsidRDefault="00057004" w:rsidP="00057004"/>
    <w:p w14:paraId="0D6CD6F4" w14:textId="77777777" w:rsidR="00057004" w:rsidRDefault="00057004" w:rsidP="00057004"/>
    <w:p w14:paraId="237EF874" w14:textId="77777777" w:rsidR="00057004" w:rsidRDefault="00057004" w:rsidP="00057004"/>
    <w:tbl>
      <w:tblPr>
        <w:tblW w:w="5000" w:type="pct"/>
        <w:tblLook w:val="0000" w:firstRow="0" w:lastRow="0" w:firstColumn="0" w:lastColumn="0" w:noHBand="0" w:noVBand="0"/>
      </w:tblPr>
      <w:tblGrid>
        <w:gridCol w:w="3423"/>
        <w:gridCol w:w="1659"/>
        <w:gridCol w:w="3423"/>
      </w:tblGrid>
      <w:tr w:rsidR="00057004" w14:paraId="5113C940" w14:textId="77777777" w:rsidTr="00BC190D">
        <w:tc>
          <w:tcPr>
            <w:tcW w:w="2012" w:type="pct"/>
          </w:tcPr>
          <w:p w14:paraId="12040089" w14:textId="77777777" w:rsidR="00057004" w:rsidRPr="00B94D4E" w:rsidRDefault="00DD6C29" w:rsidP="00BC190D">
            <w:r w:rsidRPr="00B94D4E">
              <w:t>Geoffrey Code</w:t>
            </w:r>
          </w:p>
          <w:p w14:paraId="3E954C08" w14:textId="77777777" w:rsidR="00057004" w:rsidRDefault="00DD6C29" w:rsidP="00BC190D">
            <w:pPr>
              <w:tabs>
                <w:tab w:val="left" w:pos="1515"/>
              </w:tabs>
              <w:rPr>
                <w:b/>
              </w:rPr>
            </w:pPr>
            <w:r w:rsidRPr="00B94D4E">
              <w:rPr>
                <w:b/>
              </w:rPr>
              <w:t xml:space="preserve">Senior </w:t>
            </w:r>
            <w:r w:rsidR="00057004" w:rsidRPr="00B94D4E">
              <w:rPr>
                <w:b/>
              </w:rPr>
              <w:t>Member</w:t>
            </w:r>
          </w:p>
        </w:tc>
        <w:tc>
          <w:tcPr>
            <w:tcW w:w="975" w:type="pct"/>
          </w:tcPr>
          <w:p w14:paraId="00929498" w14:textId="77777777" w:rsidR="00057004" w:rsidRDefault="00057004" w:rsidP="00BC190D"/>
        </w:tc>
        <w:tc>
          <w:tcPr>
            <w:tcW w:w="2012" w:type="pct"/>
          </w:tcPr>
          <w:p w14:paraId="125B3BDA" w14:textId="77777777" w:rsidR="00057004" w:rsidRDefault="00057004" w:rsidP="00BC190D"/>
        </w:tc>
      </w:tr>
    </w:tbl>
    <w:p w14:paraId="222010E0" w14:textId="4ED5D8EA" w:rsidR="00057004" w:rsidRPr="00C43498" w:rsidRDefault="00057004" w:rsidP="00CC5F21">
      <w:pPr>
        <w:rPr>
          <w:rFonts w:ascii="Arial" w:hAnsi="Arial" w:cs="Arial"/>
          <w:b/>
          <w:sz w:val="24"/>
          <w:szCs w:val="24"/>
        </w:rPr>
      </w:pPr>
    </w:p>
    <w:sectPr w:rsidR="00057004" w:rsidRPr="00C43498">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20D8" w14:textId="77777777" w:rsidR="00AF041C" w:rsidRDefault="00AF041C">
      <w:r>
        <w:separator/>
      </w:r>
    </w:p>
  </w:endnote>
  <w:endnote w:type="continuationSeparator" w:id="0">
    <w:p w14:paraId="085E7A71" w14:textId="77777777" w:rsidR="00AF041C" w:rsidRDefault="00AF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5AE6E126" w14:textId="77777777">
      <w:trPr>
        <w:cantSplit/>
      </w:trPr>
      <w:tc>
        <w:tcPr>
          <w:tcW w:w="3884" w:type="pct"/>
        </w:tcPr>
        <w:p w14:paraId="3475821A" w14:textId="77777777" w:rsidR="007F601B" w:rsidRDefault="007F601B">
          <w:pPr>
            <w:pStyle w:val="Footer"/>
            <w:spacing w:beforeLines="60" w:before="144"/>
            <w:rPr>
              <w:rFonts w:cs="Arial"/>
              <w:sz w:val="18"/>
              <w:szCs w:val="18"/>
            </w:rPr>
          </w:pPr>
          <w:bookmarkStart w:id="17" w:name="FooterDescription"/>
          <w:bookmarkStart w:id="18" w:name="FooterFileNo1"/>
          <w:bookmarkEnd w:id="17"/>
          <w:bookmarkEnd w:id="18"/>
          <w:r>
            <w:rPr>
              <w:rFonts w:cs="Arial"/>
              <w:sz w:val="18"/>
              <w:szCs w:val="18"/>
            </w:rPr>
            <w:t xml:space="preserve">VCAT Reference </w:t>
          </w:r>
          <w:r w:rsidR="000D4C3A">
            <w:rPr>
              <w:rFonts w:cs="Arial"/>
              <w:sz w:val="18"/>
              <w:szCs w:val="18"/>
            </w:rPr>
            <w:t>N</w:t>
          </w:r>
          <w:r>
            <w:rPr>
              <w:rFonts w:cs="Arial"/>
              <w:sz w:val="18"/>
              <w:szCs w:val="18"/>
            </w:rPr>
            <w:t>o.</w:t>
          </w:r>
          <w:r w:rsidR="000D4C3A">
            <w:rPr>
              <w:rFonts w:cs="Arial"/>
              <w:sz w:val="18"/>
              <w:szCs w:val="18"/>
            </w:rPr>
            <w:t xml:space="preserve"> </w:t>
          </w:r>
          <w:r w:rsidR="000D4C3A" w:rsidRPr="000D4C3A">
            <w:rPr>
              <w:rFonts w:cs="Arial"/>
              <w:sz w:val="18"/>
              <w:szCs w:val="18"/>
            </w:rPr>
            <w:t>P1718/2019</w:t>
          </w:r>
        </w:p>
      </w:tc>
      <w:tc>
        <w:tcPr>
          <w:tcW w:w="1116" w:type="pct"/>
        </w:tcPr>
        <w:p w14:paraId="1B0CF384"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BB621F">
            <w:rPr>
              <w:rFonts w:cs="Arial"/>
              <w:noProof/>
              <w:sz w:val="18"/>
              <w:szCs w:val="18"/>
            </w:rPr>
            <w:t>12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BB621F">
            <w:rPr>
              <w:rFonts w:cs="Arial"/>
              <w:noProof/>
              <w:sz w:val="18"/>
              <w:szCs w:val="18"/>
            </w:rPr>
            <w:t>12</w:t>
          </w:r>
          <w:r>
            <w:rPr>
              <w:rFonts w:cs="Arial"/>
              <w:sz w:val="18"/>
              <w:szCs w:val="18"/>
            </w:rPr>
            <w:fldChar w:fldCharType="end"/>
          </w:r>
        </w:p>
      </w:tc>
    </w:tr>
  </w:tbl>
  <w:p w14:paraId="6658529B" w14:textId="77777777" w:rsidR="007F601B" w:rsidRDefault="007F601B">
    <w:pPr>
      <w:pStyle w:val="Footer"/>
      <w:rPr>
        <w:sz w:val="2"/>
      </w:rPr>
    </w:pPr>
  </w:p>
  <w:p w14:paraId="65660269" w14:textId="77777777" w:rsidR="007F601B" w:rsidRDefault="007F601B">
    <w:pPr>
      <w:rPr>
        <w:sz w:val="2"/>
      </w:rPr>
    </w:pPr>
  </w:p>
  <w:p w14:paraId="15776AE3"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43838" w14:textId="77777777" w:rsidR="00AF041C" w:rsidRDefault="00AF041C">
      <w:pPr>
        <w:pStyle w:val="Footer"/>
        <w:pBdr>
          <w:top w:val="single" w:sz="4" w:space="1" w:color="auto"/>
        </w:pBdr>
        <w:rPr>
          <w:sz w:val="12"/>
        </w:rPr>
      </w:pPr>
    </w:p>
  </w:footnote>
  <w:footnote w:type="continuationSeparator" w:id="0">
    <w:p w14:paraId="2F971A6F" w14:textId="77777777" w:rsidR="00AF041C" w:rsidRDefault="00AF041C">
      <w:r>
        <w:continuationSeparator/>
      </w:r>
    </w:p>
  </w:footnote>
  <w:footnote w:id="1">
    <w:p w14:paraId="54B72450" w14:textId="77777777" w:rsidR="00057004" w:rsidRDefault="00057004" w:rsidP="00057004">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DF95E20"/>
    <w:multiLevelType w:val="hybridMultilevel"/>
    <w:tmpl w:val="4816EF38"/>
    <w:lvl w:ilvl="0" w:tplc="B07E59AE">
      <w:start w:val="1"/>
      <w:numFmt w:val="bullet"/>
      <w:lvlText w:val=""/>
      <w:lvlJc w:val="left"/>
      <w:pPr>
        <w:tabs>
          <w:tab w:val="num" w:pos="928"/>
        </w:tabs>
        <w:ind w:left="928" w:hanging="360"/>
      </w:pPr>
      <w:rPr>
        <w:rFonts w:ascii="Symbol" w:hAnsi="Symbol" w:hint="default"/>
        <w:color w:val="auto"/>
      </w:rPr>
    </w:lvl>
    <w:lvl w:ilvl="1" w:tplc="0C090003">
      <w:start w:val="1"/>
      <w:numFmt w:val="bullet"/>
      <w:lvlText w:val="o"/>
      <w:lvlJc w:val="left"/>
      <w:pPr>
        <w:tabs>
          <w:tab w:val="num" w:pos="1648"/>
        </w:tabs>
        <w:ind w:left="1648" w:hanging="360"/>
      </w:pPr>
      <w:rPr>
        <w:rFonts w:ascii="Courier New" w:hAnsi="Courier New" w:cs="Courier New" w:hint="default"/>
      </w:rPr>
    </w:lvl>
    <w:lvl w:ilvl="2" w:tplc="0C090005" w:tentative="1">
      <w:start w:val="1"/>
      <w:numFmt w:val="bullet"/>
      <w:lvlText w:val=""/>
      <w:lvlJc w:val="left"/>
      <w:pPr>
        <w:tabs>
          <w:tab w:val="num" w:pos="2368"/>
        </w:tabs>
        <w:ind w:left="2368" w:hanging="360"/>
      </w:pPr>
      <w:rPr>
        <w:rFonts w:ascii="Wingdings" w:hAnsi="Wingdings" w:hint="default"/>
      </w:rPr>
    </w:lvl>
    <w:lvl w:ilvl="3" w:tplc="0C090001" w:tentative="1">
      <w:start w:val="1"/>
      <w:numFmt w:val="bullet"/>
      <w:lvlText w:val=""/>
      <w:lvlJc w:val="left"/>
      <w:pPr>
        <w:tabs>
          <w:tab w:val="num" w:pos="3088"/>
        </w:tabs>
        <w:ind w:left="3088" w:hanging="360"/>
      </w:pPr>
      <w:rPr>
        <w:rFonts w:ascii="Symbol" w:hAnsi="Symbol" w:hint="default"/>
      </w:rPr>
    </w:lvl>
    <w:lvl w:ilvl="4" w:tplc="0C090003" w:tentative="1">
      <w:start w:val="1"/>
      <w:numFmt w:val="bullet"/>
      <w:lvlText w:val="o"/>
      <w:lvlJc w:val="left"/>
      <w:pPr>
        <w:tabs>
          <w:tab w:val="num" w:pos="3808"/>
        </w:tabs>
        <w:ind w:left="3808" w:hanging="360"/>
      </w:pPr>
      <w:rPr>
        <w:rFonts w:ascii="Courier New" w:hAnsi="Courier New" w:cs="Courier New" w:hint="default"/>
      </w:rPr>
    </w:lvl>
    <w:lvl w:ilvl="5" w:tplc="0C090005" w:tentative="1">
      <w:start w:val="1"/>
      <w:numFmt w:val="bullet"/>
      <w:lvlText w:val=""/>
      <w:lvlJc w:val="left"/>
      <w:pPr>
        <w:tabs>
          <w:tab w:val="num" w:pos="4528"/>
        </w:tabs>
        <w:ind w:left="4528" w:hanging="360"/>
      </w:pPr>
      <w:rPr>
        <w:rFonts w:ascii="Wingdings" w:hAnsi="Wingdings" w:hint="default"/>
      </w:rPr>
    </w:lvl>
    <w:lvl w:ilvl="6" w:tplc="0C090001" w:tentative="1">
      <w:start w:val="1"/>
      <w:numFmt w:val="bullet"/>
      <w:lvlText w:val=""/>
      <w:lvlJc w:val="left"/>
      <w:pPr>
        <w:tabs>
          <w:tab w:val="num" w:pos="5248"/>
        </w:tabs>
        <w:ind w:left="5248" w:hanging="360"/>
      </w:pPr>
      <w:rPr>
        <w:rFonts w:ascii="Symbol" w:hAnsi="Symbol" w:hint="default"/>
      </w:rPr>
    </w:lvl>
    <w:lvl w:ilvl="7" w:tplc="0C090003" w:tentative="1">
      <w:start w:val="1"/>
      <w:numFmt w:val="bullet"/>
      <w:lvlText w:val="o"/>
      <w:lvlJc w:val="left"/>
      <w:pPr>
        <w:tabs>
          <w:tab w:val="num" w:pos="5968"/>
        </w:tabs>
        <w:ind w:left="5968" w:hanging="360"/>
      </w:pPr>
      <w:rPr>
        <w:rFonts w:ascii="Courier New" w:hAnsi="Courier New" w:cs="Courier New" w:hint="default"/>
      </w:rPr>
    </w:lvl>
    <w:lvl w:ilvl="8" w:tplc="0C090005"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9"/>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LEf1ICt0ca/P/hL1HzmSwcl3OH+u8ikRMMWoMSOCGuIbrrij8SQP7LwEJeH+JIQcSP62lt+ZaK678XWvpjMj+w==" w:salt="BQCdQjA9gVgt+6D5qiaVQQ=="/>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AF041C"/>
    <w:rsid w:val="0001113F"/>
    <w:rsid w:val="00027F01"/>
    <w:rsid w:val="00057004"/>
    <w:rsid w:val="0006104C"/>
    <w:rsid w:val="00061FEB"/>
    <w:rsid w:val="00062780"/>
    <w:rsid w:val="00063C31"/>
    <w:rsid w:val="00064B36"/>
    <w:rsid w:val="000854CC"/>
    <w:rsid w:val="00086DE8"/>
    <w:rsid w:val="000945F9"/>
    <w:rsid w:val="00094A20"/>
    <w:rsid w:val="000D4C3A"/>
    <w:rsid w:val="000E7B0E"/>
    <w:rsid w:val="000F4E28"/>
    <w:rsid w:val="00124C1E"/>
    <w:rsid w:val="00152541"/>
    <w:rsid w:val="001567AE"/>
    <w:rsid w:val="0016093F"/>
    <w:rsid w:val="00163377"/>
    <w:rsid w:val="00167876"/>
    <w:rsid w:val="001708C4"/>
    <w:rsid w:val="001719E5"/>
    <w:rsid w:val="0018330C"/>
    <w:rsid w:val="001872AB"/>
    <w:rsid w:val="001E49C7"/>
    <w:rsid w:val="001F2D3D"/>
    <w:rsid w:val="00205AD1"/>
    <w:rsid w:val="0023472F"/>
    <w:rsid w:val="0028144B"/>
    <w:rsid w:val="0028244B"/>
    <w:rsid w:val="00290F9B"/>
    <w:rsid w:val="00293A03"/>
    <w:rsid w:val="002A47E1"/>
    <w:rsid w:val="002A52E0"/>
    <w:rsid w:val="002B7051"/>
    <w:rsid w:val="002D05B6"/>
    <w:rsid w:val="002F27B5"/>
    <w:rsid w:val="00312D8A"/>
    <w:rsid w:val="0031301B"/>
    <w:rsid w:val="00320FF8"/>
    <w:rsid w:val="0032102D"/>
    <w:rsid w:val="00322661"/>
    <w:rsid w:val="0034213D"/>
    <w:rsid w:val="00361E5C"/>
    <w:rsid w:val="00361EF0"/>
    <w:rsid w:val="003813E9"/>
    <w:rsid w:val="003B5E75"/>
    <w:rsid w:val="003D546E"/>
    <w:rsid w:val="003D7278"/>
    <w:rsid w:val="003E11C8"/>
    <w:rsid w:val="00434BAA"/>
    <w:rsid w:val="00467B86"/>
    <w:rsid w:val="00477574"/>
    <w:rsid w:val="004908EE"/>
    <w:rsid w:val="004919B5"/>
    <w:rsid w:val="00495762"/>
    <w:rsid w:val="004B3605"/>
    <w:rsid w:val="004D2122"/>
    <w:rsid w:val="004D3934"/>
    <w:rsid w:val="004E3E68"/>
    <w:rsid w:val="004F4F87"/>
    <w:rsid w:val="004F54C1"/>
    <w:rsid w:val="00507771"/>
    <w:rsid w:val="00510802"/>
    <w:rsid w:val="00517ECD"/>
    <w:rsid w:val="0058084D"/>
    <w:rsid w:val="0059145F"/>
    <w:rsid w:val="0059494F"/>
    <w:rsid w:val="005A6E96"/>
    <w:rsid w:val="005B3D5D"/>
    <w:rsid w:val="005D408F"/>
    <w:rsid w:val="005D6C47"/>
    <w:rsid w:val="005D77CE"/>
    <w:rsid w:val="005E1511"/>
    <w:rsid w:val="005E2D20"/>
    <w:rsid w:val="005E4824"/>
    <w:rsid w:val="005F6FDD"/>
    <w:rsid w:val="00604881"/>
    <w:rsid w:val="00647F43"/>
    <w:rsid w:val="0065338E"/>
    <w:rsid w:val="006762EE"/>
    <w:rsid w:val="00680AFF"/>
    <w:rsid w:val="00682C14"/>
    <w:rsid w:val="00685204"/>
    <w:rsid w:val="006C3A6F"/>
    <w:rsid w:val="006C7549"/>
    <w:rsid w:val="006E7914"/>
    <w:rsid w:val="00705098"/>
    <w:rsid w:val="00726365"/>
    <w:rsid w:val="007301D6"/>
    <w:rsid w:val="00744127"/>
    <w:rsid w:val="00763504"/>
    <w:rsid w:val="00764EDD"/>
    <w:rsid w:val="00776999"/>
    <w:rsid w:val="0079593A"/>
    <w:rsid w:val="00796305"/>
    <w:rsid w:val="007B785E"/>
    <w:rsid w:val="007D487A"/>
    <w:rsid w:val="007F601B"/>
    <w:rsid w:val="007F77A1"/>
    <w:rsid w:val="008128BB"/>
    <w:rsid w:val="00812BED"/>
    <w:rsid w:val="00812EEA"/>
    <w:rsid w:val="008265B7"/>
    <w:rsid w:val="00830459"/>
    <w:rsid w:val="0084488B"/>
    <w:rsid w:val="0084497D"/>
    <w:rsid w:val="008602F8"/>
    <w:rsid w:val="00870A14"/>
    <w:rsid w:val="008A247D"/>
    <w:rsid w:val="008A46EC"/>
    <w:rsid w:val="008A5793"/>
    <w:rsid w:val="008C1674"/>
    <w:rsid w:val="008C4D99"/>
    <w:rsid w:val="008E59E1"/>
    <w:rsid w:val="00923BAA"/>
    <w:rsid w:val="00924205"/>
    <w:rsid w:val="00926A96"/>
    <w:rsid w:val="009307B5"/>
    <w:rsid w:val="00932AF9"/>
    <w:rsid w:val="0094148C"/>
    <w:rsid w:val="00946CD8"/>
    <w:rsid w:val="00956463"/>
    <w:rsid w:val="009804A9"/>
    <w:rsid w:val="00993294"/>
    <w:rsid w:val="009C06C7"/>
    <w:rsid w:val="009D0685"/>
    <w:rsid w:val="00A150D3"/>
    <w:rsid w:val="00A30D6A"/>
    <w:rsid w:val="00A35800"/>
    <w:rsid w:val="00A53783"/>
    <w:rsid w:val="00A74A16"/>
    <w:rsid w:val="00A84F33"/>
    <w:rsid w:val="00AA587E"/>
    <w:rsid w:val="00AB29FA"/>
    <w:rsid w:val="00AB53B3"/>
    <w:rsid w:val="00AF041C"/>
    <w:rsid w:val="00B134F7"/>
    <w:rsid w:val="00B160AF"/>
    <w:rsid w:val="00B24B9B"/>
    <w:rsid w:val="00B30FB4"/>
    <w:rsid w:val="00B36ACB"/>
    <w:rsid w:val="00B371E4"/>
    <w:rsid w:val="00B43096"/>
    <w:rsid w:val="00B671E2"/>
    <w:rsid w:val="00B876A2"/>
    <w:rsid w:val="00B94D4E"/>
    <w:rsid w:val="00B96B64"/>
    <w:rsid w:val="00BA1951"/>
    <w:rsid w:val="00BB621F"/>
    <w:rsid w:val="00BB7851"/>
    <w:rsid w:val="00BC219D"/>
    <w:rsid w:val="00C03203"/>
    <w:rsid w:val="00C10388"/>
    <w:rsid w:val="00C26EBF"/>
    <w:rsid w:val="00C43498"/>
    <w:rsid w:val="00C7408F"/>
    <w:rsid w:val="00CA2144"/>
    <w:rsid w:val="00CA2642"/>
    <w:rsid w:val="00CA4D1F"/>
    <w:rsid w:val="00CB6345"/>
    <w:rsid w:val="00CC19B1"/>
    <w:rsid w:val="00CC5F21"/>
    <w:rsid w:val="00CC6FF1"/>
    <w:rsid w:val="00CD1F2A"/>
    <w:rsid w:val="00D03F21"/>
    <w:rsid w:val="00D14A42"/>
    <w:rsid w:val="00D23389"/>
    <w:rsid w:val="00D24AFE"/>
    <w:rsid w:val="00D24B15"/>
    <w:rsid w:val="00D432D3"/>
    <w:rsid w:val="00D6081F"/>
    <w:rsid w:val="00D616BA"/>
    <w:rsid w:val="00D64D3E"/>
    <w:rsid w:val="00DA0186"/>
    <w:rsid w:val="00DA10C1"/>
    <w:rsid w:val="00DA2C68"/>
    <w:rsid w:val="00DC7C16"/>
    <w:rsid w:val="00DD240D"/>
    <w:rsid w:val="00DD6C29"/>
    <w:rsid w:val="00DF3585"/>
    <w:rsid w:val="00E002C5"/>
    <w:rsid w:val="00E22A2C"/>
    <w:rsid w:val="00E37207"/>
    <w:rsid w:val="00E50B92"/>
    <w:rsid w:val="00E62037"/>
    <w:rsid w:val="00EA014D"/>
    <w:rsid w:val="00EA5010"/>
    <w:rsid w:val="00EA5975"/>
    <w:rsid w:val="00ED44FD"/>
    <w:rsid w:val="00ED56ED"/>
    <w:rsid w:val="00EE5E8E"/>
    <w:rsid w:val="00F31DF7"/>
    <w:rsid w:val="00F338E1"/>
    <w:rsid w:val="00F55C68"/>
    <w:rsid w:val="00F60617"/>
    <w:rsid w:val="00F773CF"/>
    <w:rsid w:val="00F9058C"/>
    <w:rsid w:val="00F94FD0"/>
    <w:rsid w:val="00FB6AF0"/>
    <w:rsid w:val="00FC12AD"/>
    <w:rsid w:val="00FE2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7C0F4E"/>
  <w15:chartTrackingRefBased/>
  <w15:docId w15:val="{76020022-7B28-4192-8537-92C3A357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1495">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762800866">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26120239">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00804214">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 w:id="2129931083">
      <w:bodyDiv w:val="1"/>
      <w:marLeft w:val="0"/>
      <w:marRight w:val="0"/>
      <w:marTop w:val="0"/>
      <w:marBottom w:val="0"/>
      <w:divBdr>
        <w:top w:val="none" w:sz="0" w:space="0" w:color="auto"/>
        <w:left w:val="none" w:sz="0" w:space="0" w:color="auto"/>
        <w:bottom w:val="none" w:sz="0" w:space="0" w:color="auto"/>
        <w:right w:val="none" w:sz="0" w:space="0" w:color="auto"/>
      </w:divBdr>
      <w:divsChild>
        <w:div w:id="1230963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20520">
              <w:marLeft w:val="0"/>
              <w:marRight w:val="0"/>
              <w:marTop w:val="0"/>
              <w:marBottom w:val="0"/>
              <w:divBdr>
                <w:top w:val="none" w:sz="0" w:space="0" w:color="auto"/>
                <w:left w:val="none" w:sz="0" w:space="0" w:color="auto"/>
                <w:bottom w:val="none" w:sz="0" w:space="0" w:color="auto"/>
                <w:right w:val="none" w:sz="0" w:space="0" w:color="auto"/>
              </w:divBdr>
              <w:divsChild>
                <w:div w:id="208575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067422">
                      <w:marLeft w:val="0"/>
                      <w:marRight w:val="0"/>
                      <w:marTop w:val="0"/>
                      <w:marBottom w:val="0"/>
                      <w:divBdr>
                        <w:top w:val="none" w:sz="0" w:space="0" w:color="auto"/>
                        <w:left w:val="none" w:sz="0" w:space="0" w:color="auto"/>
                        <w:bottom w:val="none" w:sz="0" w:space="0" w:color="auto"/>
                        <w:right w:val="none" w:sz="0" w:space="0" w:color="auto"/>
                      </w:divBdr>
                      <w:divsChild>
                        <w:div w:id="1454668736">
                          <w:marLeft w:val="0"/>
                          <w:marRight w:val="0"/>
                          <w:marTop w:val="0"/>
                          <w:marBottom w:val="0"/>
                          <w:divBdr>
                            <w:top w:val="none" w:sz="0" w:space="0" w:color="auto"/>
                            <w:left w:val="none" w:sz="0" w:space="0" w:color="auto"/>
                            <w:bottom w:val="none" w:sz="0" w:space="0" w:color="auto"/>
                            <w:right w:val="none" w:sz="0" w:space="0" w:color="auto"/>
                          </w:divBdr>
                          <w:divsChild>
                            <w:div w:id="1900482857">
                              <w:marLeft w:val="0"/>
                              <w:marRight w:val="0"/>
                              <w:marTop w:val="0"/>
                              <w:marBottom w:val="0"/>
                              <w:divBdr>
                                <w:top w:val="none" w:sz="0" w:space="0" w:color="auto"/>
                                <w:left w:val="none" w:sz="0" w:space="0" w:color="auto"/>
                                <w:bottom w:val="none" w:sz="0" w:space="0" w:color="auto"/>
                                <w:right w:val="none" w:sz="0" w:space="0" w:color="auto"/>
                              </w:divBdr>
                              <w:divsChild>
                                <w:div w:id="31538294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MODEL%20TEMPLATES%202016\Decision%20Template%202016%20(Full%20Text%20-%20Multi%20Case)%20release%201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97591-BF16-4A89-94A8-A5FA9AD4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Template 2016 (Full Text - Multi Case) release 1d.dotx</Template>
  <TotalTime>1</TotalTime>
  <Pages>5</Pages>
  <Words>1261</Words>
  <Characters>6542</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Geoff Code (CSV)</dc:creator>
  <cp:keywords/>
  <dc:description/>
  <cp:lastModifiedBy>Duygu Ates (CSV)</cp:lastModifiedBy>
  <cp:revision>3</cp:revision>
  <cp:lastPrinted>2020-03-19T04:45:00Z</cp:lastPrinted>
  <dcterms:created xsi:type="dcterms:W3CDTF">2020-03-19T04:45:00Z</dcterms:created>
  <dcterms:modified xsi:type="dcterms:W3CDTF">2020-03-19T05:05:00Z</dcterms:modified>
</cp:coreProperties>
</file>