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C6" w:rsidRDefault="0076771C" w:rsidP="00622E98">
      <w:pPr>
        <w:pStyle w:val="TitlePage1"/>
      </w:pPr>
      <w:r>
        <w:rPr>
          <w:noProof/>
          <w:lang w:eastAsia="en-AU"/>
        </w:rPr>
        <w:drawing>
          <wp:anchor distT="0" distB="0" distL="114300" distR="114300" simplePos="0" relativeHeight="251651072"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0" name="VCAT Seal1"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742AC6">
        <w:t>VICTORIAN CIVIL AND ADMINISTRATIVE TRIBUNAL</w:t>
      </w:r>
    </w:p>
    <w:p w:rsidR="00742AC6" w:rsidRDefault="00742AC6">
      <w:pPr>
        <w:pStyle w:val="TitlePage1"/>
      </w:pPr>
      <w:bookmarkStart w:id="0" w:name="Division"/>
      <w:bookmarkEnd w:id="0"/>
      <w:r>
        <w:t>administrative DIVISION</w:t>
      </w:r>
    </w:p>
    <w:tbl>
      <w:tblPr>
        <w:tblW w:w="8928" w:type="dxa"/>
        <w:tblLayout w:type="fixed"/>
        <w:tblLook w:val="0000" w:firstRow="0" w:lastRow="0" w:firstColumn="0" w:lastColumn="0" w:noHBand="0" w:noVBand="0"/>
      </w:tblPr>
      <w:tblGrid>
        <w:gridCol w:w="4608"/>
        <w:gridCol w:w="4320"/>
      </w:tblGrid>
      <w:tr w:rsidR="00742AC6">
        <w:trPr>
          <w:cantSplit/>
        </w:trPr>
        <w:tc>
          <w:tcPr>
            <w:tcW w:w="4608" w:type="dxa"/>
          </w:tcPr>
          <w:p w:rsidR="00742AC6" w:rsidRDefault="00742AC6">
            <w:pPr>
              <w:pStyle w:val="TitlePage2"/>
            </w:pPr>
            <w:bookmarkStart w:id="1" w:name="SubDivision"/>
            <w:bookmarkEnd w:id="1"/>
            <w:r>
              <w:t>planning and environment LIST</w:t>
            </w:r>
          </w:p>
        </w:tc>
        <w:tc>
          <w:tcPr>
            <w:tcW w:w="4320" w:type="dxa"/>
          </w:tcPr>
          <w:p w:rsidR="00742AC6" w:rsidRDefault="00742AC6">
            <w:pPr>
              <w:pStyle w:val="TitlePage3"/>
            </w:pPr>
            <w:bookmarkStart w:id="2" w:name="FileNo1"/>
            <w:bookmarkEnd w:id="2"/>
            <w:r>
              <w:t xml:space="preserve">vcat reference No. </w:t>
            </w:r>
            <w:r w:rsidR="00924381">
              <w:t>P725/2018</w:t>
            </w:r>
          </w:p>
          <w:p w:rsidR="00742AC6" w:rsidRDefault="00742AC6" w:rsidP="00355D09">
            <w:pPr>
              <w:pStyle w:val="TitlePage3"/>
            </w:pPr>
            <w:r>
              <w:t xml:space="preserve">Permit </w:t>
            </w:r>
            <w:r w:rsidR="00E81900">
              <w:t xml:space="preserve">APPLICATION </w:t>
            </w:r>
            <w:r>
              <w:t xml:space="preserve">no. </w:t>
            </w:r>
            <w:r w:rsidR="004E5913">
              <w:t>TPA/</w:t>
            </w:r>
            <w:r w:rsidR="00924381">
              <w:t>48296</w:t>
            </w:r>
          </w:p>
        </w:tc>
      </w:tr>
    </w:tbl>
    <w:p w:rsidR="00FC406E" w:rsidRDefault="00FC406E" w:rsidP="00FC406E">
      <w:pPr>
        <w:jc w:val="center"/>
      </w:pPr>
      <w:bookmarkStart w:id="3" w:name="Catchwords"/>
      <w:bookmarkEnd w:id="3"/>
    </w:p>
    <w:tbl>
      <w:tblPr>
        <w:tblW w:w="9083" w:type="dxa"/>
        <w:jc w:val="center"/>
        <w:tblLayout w:type="fixed"/>
        <w:tblLook w:val="0000" w:firstRow="0" w:lastRow="0" w:firstColumn="0" w:lastColumn="0" w:noHBand="0" w:noVBand="0"/>
      </w:tblPr>
      <w:tblGrid>
        <w:gridCol w:w="9083"/>
      </w:tblGrid>
      <w:tr w:rsidR="00FC406E" w:rsidRPr="003336EC" w:rsidTr="00FC406E">
        <w:trPr>
          <w:cantSplit/>
          <w:jc w:val="center"/>
        </w:trPr>
        <w:tc>
          <w:tcPr>
            <w:tcW w:w="9083" w:type="dxa"/>
          </w:tcPr>
          <w:p w:rsidR="00FC406E" w:rsidRPr="003336EC" w:rsidRDefault="00FC406E" w:rsidP="00B879E8">
            <w:pPr>
              <w:pStyle w:val="TitlePage2"/>
              <w:jc w:val="center"/>
              <w:rPr>
                <w:sz w:val="20"/>
                <w:szCs w:val="20"/>
              </w:rPr>
            </w:pPr>
            <w:r w:rsidRPr="003336EC">
              <w:rPr>
                <w:sz w:val="20"/>
                <w:szCs w:val="20"/>
              </w:rPr>
              <w:t>CATCHWORDS</w:t>
            </w:r>
          </w:p>
        </w:tc>
      </w:tr>
      <w:tr w:rsidR="00FC406E" w:rsidRPr="003336EC" w:rsidTr="00FC406E">
        <w:trPr>
          <w:cantSplit/>
          <w:jc w:val="center"/>
        </w:trPr>
        <w:tc>
          <w:tcPr>
            <w:tcW w:w="9083" w:type="dxa"/>
          </w:tcPr>
          <w:p w:rsidR="00FC406E" w:rsidRPr="003336EC" w:rsidRDefault="00FC406E" w:rsidP="007F72F1">
            <w:pPr>
              <w:pStyle w:val="Catchwords"/>
              <w:jc w:val="center"/>
              <w:rPr>
                <w:szCs w:val="20"/>
              </w:rPr>
            </w:pPr>
            <w:r w:rsidRPr="003336EC">
              <w:rPr>
                <w:szCs w:val="20"/>
              </w:rPr>
              <w:t xml:space="preserve">Section 77 of the </w:t>
            </w:r>
            <w:r w:rsidRPr="003336EC">
              <w:rPr>
                <w:i/>
                <w:szCs w:val="20"/>
              </w:rPr>
              <w:t>Planning and Environment Act</w:t>
            </w:r>
            <w:r w:rsidRPr="003336EC">
              <w:rPr>
                <w:szCs w:val="20"/>
              </w:rPr>
              <w:t xml:space="preserve"> 1987; </w:t>
            </w:r>
            <w:r w:rsidR="004E5913" w:rsidRPr="003336EC">
              <w:rPr>
                <w:szCs w:val="20"/>
              </w:rPr>
              <w:t>Monash</w:t>
            </w:r>
            <w:r w:rsidR="00576B54" w:rsidRPr="003336EC">
              <w:rPr>
                <w:szCs w:val="20"/>
              </w:rPr>
              <w:t xml:space="preserve"> Planning Scheme; </w:t>
            </w:r>
            <w:r w:rsidR="004E5913" w:rsidRPr="003336EC">
              <w:rPr>
                <w:szCs w:val="20"/>
              </w:rPr>
              <w:t>General Residential Zone GRZ</w:t>
            </w:r>
            <w:r w:rsidR="00134712">
              <w:rPr>
                <w:szCs w:val="20"/>
              </w:rPr>
              <w:t>2</w:t>
            </w:r>
            <w:r w:rsidR="004E5913" w:rsidRPr="003336EC">
              <w:rPr>
                <w:szCs w:val="20"/>
              </w:rPr>
              <w:t xml:space="preserve">; </w:t>
            </w:r>
            <w:r w:rsidR="007F72F1" w:rsidRPr="003336EC">
              <w:rPr>
                <w:szCs w:val="20"/>
              </w:rPr>
              <w:t xml:space="preserve">Character Area </w:t>
            </w:r>
            <w:r w:rsidR="00924381">
              <w:rPr>
                <w:szCs w:val="20"/>
              </w:rPr>
              <w:t>C</w:t>
            </w:r>
            <w:r w:rsidR="007F72F1" w:rsidRPr="003336EC">
              <w:rPr>
                <w:szCs w:val="20"/>
              </w:rPr>
              <w:t xml:space="preserve">; </w:t>
            </w:r>
            <w:r w:rsidR="00772FC6">
              <w:rPr>
                <w:szCs w:val="20"/>
              </w:rPr>
              <w:t>Garden City Character</w:t>
            </w:r>
            <w:r w:rsidR="00924381">
              <w:rPr>
                <w:szCs w:val="20"/>
              </w:rPr>
              <w:t xml:space="preserve">; </w:t>
            </w:r>
            <w:r w:rsidR="00134712">
              <w:rPr>
                <w:szCs w:val="20"/>
              </w:rPr>
              <w:t>Response to</w:t>
            </w:r>
            <w:r w:rsidR="00876E55">
              <w:rPr>
                <w:szCs w:val="20"/>
              </w:rPr>
              <w:t xml:space="preserve"> </w:t>
            </w:r>
            <w:r w:rsidR="0037115B" w:rsidRPr="003336EC">
              <w:rPr>
                <w:szCs w:val="20"/>
              </w:rPr>
              <w:t xml:space="preserve">Neighbourhood </w:t>
            </w:r>
            <w:r w:rsidR="004E5913" w:rsidRPr="003336EC">
              <w:rPr>
                <w:szCs w:val="20"/>
              </w:rPr>
              <w:t>Character</w:t>
            </w:r>
            <w:r w:rsidR="00DB3870" w:rsidRPr="003336EC">
              <w:rPr>
                <w:szCs w:val="20"/>
              </w:rPr>
              <w:t xml:space="preserve">; </w:t>
            </w:r>
            <w:r w:rsidR="00134712">
              <w:rPr>
                <w:szCs w:val="20"/>
              </w:rPr>
              <w:t xml:space="preserve">Streetscape Presentation; </w:t>
            </w:r>
            <w:r w:rsidR="00B317DC" w:rsidRPr="003336EC">
              <w:rPr>
                <w:szCs w:val="20"/>
              </w:rPr>
              <w:t>Building Scale and Massing</w:t>
            </w:r>
            <w:r w:rsidR="00C73AC6" w:rsidRPr="003336EC">
              <w:rPr>
                <w:szCs w:val="20"/>
              </w:rPr>
              <w:t xml:space="preserve">; </w:t>
            </w:r>
            <w:r w:rsidR="00772FC6">
              <w:rPr>
                <w:szCs w:val="20"/>
              </w:rPr>
              <w:t>Landscape Response; Internal Amenity</w:t>
            </w:r>
            <w:r w:rsidR="0037115B" w:rsidRPr="003336EC">
              <w:rPr>
                <w:szCs w:val="20"/>
              </w:rPr>
              <w:t>.</w:t>
            </w:r>
          </w:p>
        </w:tc>
      </w:tr>
    </w:tbl>
    <w:p w:rsidR="002930A8" w:rsidRDefault="002930A8" w:rsidP="002930A8"/>
    <w:tbl>
      <w:tblPr>
        <w:tblW w:w="9000" w:type="dxa"/>
        <w:tblInd w:w="-72" w:type="dxa"/>
        <w:tblLayout w:type="fixed"/>
        <w:tblLook w:val="0000" w:firstRow="0" w:lastRow="0" w:firstColumn="0" w:lastColumn="0" w:noHBand="0" w:noVBand="0"/>
      </w:tblPr>
      <w:tblGrid>
        <w:gridCol w:w="3582"/>
        <w:gridCol w:w="5418"/>
      </w:tblGrid>
      <w:tr w:rsidR="002930A8" w:rsidTr="003336EC">
        <w:tc>
          <w:tcPr>
            <w:tcW w:w="3582" w:type="dxa"/>
          </w:tcPr>
          <w:p w:rsidR="002930A8" w:rsidRDefault="002930A8" w:rsidP="002930A8">
            <w:pPr>
              <w:pStyle w:val="TitlePage2"/>
            </w:pPr>
            <w:bookmarkStart w:id="4" w:name="DELcomplainants2"/>
            <w:bookmarkStart w:id="5" w:name="DELapp"/>
            <w:bookmarkStart w:id="6" w:name="DELitmo"/>
            <w:bookmarkStart w:id="7" w:name="DELcar"/>
            <w:r>
              <w:t>APPLICANT</w:t>
            </w:r>
          </w:p>
        </w:tc>
        <w:tc>
          <w:tcPr>
            <w:tcW w:w="5418" w:type="dxa"/>
          </w:tcPr>
          <w:p w:rsidR="002930A8" w:rsidRPr="00112D66" w:rsidRDefault="00924381" w:rsidP="002930A8">
            <w:pPr>
              <w:spacing w:before="80"/>
              <w:rPr>
                <w:color w:val="000000"/>
              </w:rPr>
            </w:pPr>
            <w:bookmarkStart w:id="8" w:name="Applicant"/>
            <w:bookmarkEnd w:id="8"/>
            <w:r>
              <w:rPr>
                <w:color w:val="000000"/>
                <w:shd w:val="clear" w:color="auto" w:fill="FFFFFF"/>
              </w:rPr>
              <w:t>Serena Yau</w:t>
            </w:r>
          </w:p>
        </w:tc>
      </w:tr>
      <w:tr w:rsidR="00924381" w:rsidTr="007825E5">
        <w:tc>
          <w:tcPr>
            <w:tcW w:w="3582" w:type="dxa"/>
          </w:tcPr>
          <w:p w:rsidR="00924381" w:rsidRDefault="00924381" w:rsidP="007825E5">
            <w:pPr>
              <w:pStyle w:val="TitlePage2"/>
            </w:pPr>
            <w:r>
              <w:t>responsible authority</w:t>
            </w:r>
          </w:p>
        </w:tc>
        <w:tc>
          <w:tcPr>
            <w:tcW w:w="5418" w:type="dxa"/>
          </w:tcPr>
          <w:p w:rsidR="00924381" w:rsidRDefault="00924381" w:rsidP="007825E5">
            <w:pPr>
              <w:pStyle w:val="TitlePagetext"/>
            </w:pPr>
            <w:r>
              <w:t>Monash City Council</w:t>
            </w:r>
          </w:p>
        </w:tc>
      </w:tr>
      <w:tr w:rsidR="0037271E" w:rsidTr="003336EC">
        <w:tc>
          <w:tcPr>
            <w:tcW w:w="3582" w:type="dxa"/>
          </w:tcPr>
          <w:p w:rsidR="0037271E" w:rsidRDefault="0037271E" w:rsidP="000D5159">
            <w:pPr>
              <w:pStyle w:val="TitlePage2"/>
            </w:pPr>
            <w:r>
              <w:t>respon</w:t>
            </w:r>
            <w:r w:rsidR="00924381">
              <w:t>DENT</w:t>
            </w:r>
            <w:r w:rsidR="009C22BF">
              <w:t>S</w:t>
            </w:r>
          </w:p>
        </w:tc>
        <w:tc>
          <w:tcPr>
            <w:tcW w:w="5418" w:type="dxa"/>
          </w:tcPr>
          <w:p w:rsidR="0037271E" w:rsidRDefault="00924381" w:rsidP="000D5159">
            <w:pPr>
              <w:pStyle w:val="TitlePagetext"/>
            </w:pPr>
            <w:r>
              <w:t>Hannah &amp; Kh</w:t>
            </w:r>
            <w:r w:rsidR="009C22BF">
              <w:t>i</w:t>
            </w:r>
            <w:r>
              <w:t>an Be</w:t>
            </w:r>
          </w:p>
        </w:tc>
      </w:tr>
      <w:tr w:rsidR="002930A8" w:rsidTr="003336EC">
        <w:tc>
          <w:tcPr>
            <w:tcW w:w="3582" w:type="dxa"/>
          </w:tcPr>
          <w:p w:rsidR="002930A8" w:rsidRDefault="002930A8" w:rsidP="002930A8">
            <w:pPr>
              <w:pStyle w:val="TitlePage2"/>
            </w:pPr>
            <w:bookmarkStart w:id="9" w:name="DELrespondents2"/>
            <w:bookmarkStart w:id="10" w:name="DELsubjectland"/>
            <w:bookmarkEnd w:id="4"/>
            <w:bookmarkEnd w:id="5"/>
            <w:r>
              <w:t>SUBJECT LAND</w:t>
            </w:r>
          </w:p>
        </w:tc>
        <w:tc>
          <w:tcPr>
            <w:tcW w:w="5418" w:type="dxa"/>
          </w:tcPr>
          <w:p w:rsidR="002930A8" w:rsidRDefault="00760241" w:rsidP="00355D09">
            <w:pPr>
              <w:pStyle w:val="TitlePagetext"/>
            </w:pPr>
            <w:bookmarkStart w:id="11" w:name="subjectland"/>
            <w:bookmarkEnd w:id="11"/>
            <w:r>
              <w:t xml:space="preserve">No. </w:t>
            </w:r>
            <w:bookmarkStart w:id="12" w:name="_GoBack"/>
            <w:r w:rsidR="00924381">
              <w:t>8 Armstrong Street, Mt Waverley</w:t>
            </w:r>
            <w:bookmarkEnd w:id="12"/>
          </w:p>
        </w:tc>
      </w:tr>
      <w:tr w:rsidR="002930A8" w:rsidTr="003336EC">
        <w:tc>
          <w:tcPr>
            <w:tcW w:w="3582" w:type="dxa"/>
          </w:tcPr>
          <w:p w:rsidR="002930A8" w:rsidRDefault="002930A8" w:rsidP="002930A8">
            <w:pPr>
              <w:pStyle w:val="TitlePage2"/>
            </w:pPr>
            <w:bookmarkStart w:id="13" w:name="INSresponsibleAuthority"/>
            <w:bookmarkEnd w:id="6"/>
            <w:bookmarkEnd w:id="7"/>
            <w:bookmarkEnd w:id="9"/>
            <w:bookmarkEnd w:id="10"/>
            <w:bookmarkEnd w:id="13"/>
            <w:r>
              <w:t>WHERE HELD</w:t>
            </w:r>
          </w:p>
        </w:tc>
        <w:tc>
          <w:tcPr>
            <w:tcW w:w="5418" w:type="dxa"/>
          </w:tcPr>
          <w:p w:rsidR="002930A8" w:rsidRDefault="002930A8" w:rsidP="002930A8">
            <w:pPr>
              <w:pStyle w:val="TitlePagetext"/>
            </w:pPr>
            <w:bookmarkStart w:id="14" w:name="Location"/>
            <w:bookmarkEnd w:id="14"/>
            <w:smartTag w:uri="urn:schemas-microsoft-com:office:smarttags" w:element="place">
              <w:smartTag w:uri="urn:schemas-microsoft-com:office:smarttags" w:element="City">
                <w:r>
                  <w:t>Melbourne</w:t>
                </w:r>
              </w:smartTag>
            </w:smartTag>
          </w:p>
        </w:tc>
      </w:tr>
      <w:tr w:rsidR="002930A8" w:rsidTr="003336EC">
        <w:tc>
          <w:tcPr>
            <w:tcW w:w="3582" w:type="dxa"/>
          </w:tcPr>
          <w:p w:rsidR="002930A8" w:rsidRDefault="002930A8" w:rsidP="002930A8">
            <w:pPr>
              <w:pStyle w:val="TitlePage2"/>
            </w:pPr>
            <w:r>
              <w:t>BEFORE</w:t>
            </w:r>
          </w:p>
        </w:tc>
        <w:tc>
          <w:tcPr>
            <w:tcW w:w="5418" w:type="dxa"/>
          </w:tcPr>
          <w:p w:rsidR="00A6065D" w:rsidRDefault="002930A8" w:rsidP="002930A8">
            <w:pPr>
              <w:pStyle w:val="TitlePagetext"/>
            </w:pPr>
            <w:bookmarkStart w:id="15" w:name="Before"/>
            <w:bookmarkEnd w:id="15"/>
            <w:r>
              <w:t>Margaret Baird, Senior Member</w:t>
            </w:r>
          </w:p>
        </w:tc>
      </w:tr>
      <w:tr w:rsidR="002930A8" w:rsidTr="003336EC">
        <w:tc>
          <w:tcPr>
            <w:tcW w:w="3582" w:type="dxa"/>
          </w:tcPr>
          <w:p w:rsidR="002930A8" w:rsidRDefault="002930A8" w:rsidP="002930A8">
            <w:pPr>
              <w:pStyle w:val="TitlePage2"/>
            </w:pPr>
            <w:r>
              <w:t>HEARING TYPE</w:t>
            </w:r>
          </w:p>
        </w:tc>
        <w:tc>
          <w:tcPr>
            <w:tcW w:w="5418" w:type="dxa"/>
          </w:tcPr>
          <w:p w:rsidR="002930A8" w:rsidRDefault="002930A8" w:rsidP="002930A8">
            <w:pPr>
              <w:pStyle w:val="TitlePagetext"/>
            </w:pPr>
            <w:bookmarkStart w:id="16" w:name="HearingType"/>
            <w:bookmarkEnd w:id="16"/>
            <w:r>
              <w:t>Hearing</w:t>
            </w:r>
          </w:p>
        </w:tc>
      </w:tr>
      <w:tr w:rsidR="002930A8" w:rsidTr="003336EC">
        <w:tc>
          <w:tcPr>
            <w:tcW w:w="3582" w:type="dxa"/>
          </w:tcPr>
          <w:p w:rsidR="002930A8" w:rsidRDefault="002930A8" w:rsidP="002930A8">
            <w:pPr>
              <w:pStyle w:val="TitlePage2"/>
            </w:pPr>
            <w:r>
              <w:t>DATE OF HEARING</w:t>
            </w:r>
          </w:p>
        </w:tc>
        <w:tc>
          <w:tcPr>
            <w:tcW w:w="5418" w:type="dxa"/>
          </w:tcPr>
          <w:p w:rsidR="002930A8" w:rsidRDefault="00924381" w:rsidP="002930A8">
            <w:pPr>
              <w:pStyle w:val="TitlePagetext"/>
            </w:pPr>
            <w:bookmarkStart w:id="17" w:name="HearingDate"/>
            <w:bookmarkEnd w:id="17"/>
            <w:r>
              <w:t>19 February 2019</w:t>
            </w:r>
          </w:p>
        </w:tc>
      </w:tr>
      <w:tr w:rsidR="002930A8" w:rsidRPr="0096168C" w:rsidTr="003336EC">
        <w:tc>
          <w:tcPr>
            <w:tcW w:w="3582" w:type="dxa"/>
          </w:tcPr>
          <w:p w:rsidR="002930A8" w:rsidRPr="0096168C" w:rsidRDefault="002930A8" w:rsidP="002930A8">
            <w:pPr>
              <w:pStyle w:val="TitlePage2"/>
            </w:pPr>
            <w:r w:rsidRPr="0096168C">
              <w:t>DATE OF ORDER</w:t>
            </w:r>
          </w:p>
        </w:tc>
        <w:tc>
          <w:tcPr>
            <w:tcW w:w="5418" w:type="dxa"/>
          </w:tcPr>
          <w:p w:rsidR="002930A8" w:rsidRPr="009C22BF" w:rsidRDefault="00E42225" w:rsidP="004E5913">
            <w:pPr>
              <w:pStyle w:val="TitlePagetext"/>
            </w:pPr>
            <w:bookmarkStart w:id="18" w:name="DateOrder"/>
            <w:bookmarkEnd w:id="18"/>
            <w:r>
              <w:t>7</w:t>
            </w:r>
            <w:r w:rsidR="007622DD" w:rsidRPr="009C22BF">
              <w:t xml:space="preserve"> March</w:t>
            </w:r>
            <w:r w:rsidR="00134712" w:rsidRPr="009C22BF">
              <w:t xml:space="preserve"> 2019</w:t>
            </w:r>
          </w:p>
        </w:tc>
      </w:tr>
      <w:tr w:rsidR="002930A8" w:rsidTr="003336EC">
        <w:tc>
          <w:tcPr>
            <w:tcW w:w="3582" w:type="dxa"/>
          </w:tcPr>
          <w:p w:rsidR="002930A8" w:rsidRPr="0096168C" w:rsidRDefault="002930A8" w:rsidP="002930A8">
            <w:pPr>
              <w:pStyle w:val="TitlePage2"/>
            </w:pPr>
            <w:r w:rsidRPr="0096168C">
              <w:t>CITATION</w:t>
            </w:r>
          </w:p>
        </w:tc>
        <w:tc>
          <w:tcPr>
            <w:tcW w:w="5418" w:type="dxa"/>
          </w:tcPr>
          <w:p w:rsidR="002930A8" w:rsidRPr="009C22BF" w:rsidRDefault="00924381" w:rsidP="002930A8">
            <w:pPr>
              <w:pStyle w:val="TitlePagetext"/>
            </w:pPr>
            <w:r w:rsidRPr="009C22BF">
              <w:rPr>
                <w:shd w:val="clear" w:color="auto" w:fill="FFFFFF"/>
              </w:rPr>
              <w:t>Yau</w:t>
            </w:r>
            <w:r w:rsidR="00B317DC" w:rsidRPr="009C22BF">
              <w:rPr>
                <w:shd w:val="clear" w:color="auto" w:fill="FFFFFF"/>
              </w:rPr>
              <w:t xml:space="preserve"> </w:t>
            </w:r>
            <w:r w:rsidR="00355D09" w:rsidRPr="009C22BF">
              <w:t>v Monash CC [201</w:t>
            </w:r>
            <w:r w:rsidRPr="009C22BF">
              <w:t>9</w:t>
            </w:r>
            <w:r w:rsidR="00355D09" w:rsidRPr="009C22BF">
              <w:t xml:space="preserve">] VCAT </w:t>
            </w:r>
            <w:r w:rsidR="009C22BF" w:rsidRPr="009C22BF">
              <w:t>301</w:t>
            </w:r>
          </w:p>
        </w:tc>
      </w:tr>
    </w:tbl>
    <w:p w:rsidR="00742AC6" w:rsidRDefault="00742AC6" w:rsidP="0037115B">
      <w:pPr>
        <w:pStyle w:val="Heading1"/>
        <w:spacing w:before="360"/>
        <w:ind w:right="-318"/>
      </w:pPr>
      <w:r>
        <w:t>Order</w:t>
      </w:r>
    </w:p>
    <w:p w:rsidR="00833190" w:rsidRDefault="00833190" w:rsidP="003336EC">
      <w:pPr>
        <w:pStyle w:val="Heading3"/>
        <w:spacing w:before="120"/>
      </w:pPr>
      <w:r>
        <w:t>No permit granted</w:t>
      </w:r>
    </w:p>
    <w:p w:rsidR="0037271E" w:rsidRDefault="00AB0A86" w:rsidP="0037115B">
      <w:pPr>
        <w:pStyle w:val="Order2"/>
        <w:numPr>
          <w:ilvl w:val="0"/>
          <w:numId w:val="2"/>
        </w:numPr>
        <w:spacing w:before="80" w:after="100" w:line="240" w:lineRule="auto"/>
        <w:ind w:right="-318"/>
      </w:pPr>
      <w:r>
        <w:t xml:space="preserve">The </w:t>
      </w:r>
      <w:r w:rsidR="00FB37DB">
        <w:t>decision of the Responsible Authority is affirmed</w:t>
      </w:r>
      <w:r w:rsidR="009E10C3">
        <w:t>.</w:t>
      </w:r>
      <w:r w:rsidR="00B176BB">
        <w:t xml:space="preserve"> </w:t>
      </w:r>
    </w:p>
    <w:p w:rsidR="00FB37DB" w:rsidRDefault="004E5913" w:rsidP="0037115B">
      <w:pPr>
        <w:pStyle w:val="Order2"/>
        <w:numPr>
          <w:ilvl w:val="0"/>
          <w:numId w:val="2"/>
        </w:numPr>
        <w:spacing w:before="80" w:after="100" w:line="240" w:lineRule="auto"/>
        <w:ind w:right="-318"/>
      </w:pPr>
      <w:r w:rsidRPr="001F4BB2">
        <w:t xml:space="preserve">In permit application no. </w:t>
      </w:r>
      <w:r>
        <w:t>TPA/</w:t>
      </w:r>
      <w:r w:rsidR="00924381">
        <w:t>48296</w:t>
      </w:r>
      <w:r>
        <w:t>, no permit is granted</w:t>
      </w:r>
      <w:r w:rsidR="00FC406E">
        <w:t>.</w:t>
      </w:r>
    </w:p>
    <w:p w:rsidR="000924A4" w:rsidRDefault="000924A4" w:rsidP="0037115B">
      <w:pPr>
        <w:pStyle w:val="Order2"/>
        <w:numPr>
          <w:ilvl w:val="0"/>
          <w:numId w:val="0"/>
        </w:numPr>
        <w:ind w:left="567" w:right="-318" w:hanging="567"/>
      </w:pPr>
    </w:p>
    <w:p w:rsidR="00355D09" w:rsidRDefault="00355D09" w:rsidP="0037115B">
      <w:pPr>
        <w:pStyle w:val="Order2"/>
        <w:numPr>
          <w:ilvl w:val="0"/>
          <w:numId w:val="0"/>
        </w:numPr>
        <w:ind w:left="567" w:right="-318" w:hanging="567"/>
      </w:pPr>
    </w:p>
    <w:tbl>
      <w:tblPr>
        <w:tblW w:w="8820" w:type="dxa"/>
        <w:tblInd w:w="108" w:type="dxa"/>
        <w:tblLayout w:type="fixed"/>
        <w:tblLook w:val="0000" w:firstRow="0" w:lastRow="0" w:firstColumn="0" w:lastColumn="0" w:noHBand="0" w:noVBand="0"/>
      </w:tblPr>
      <w:tblGrid>
        <w:gridCol w:w="3060"/>
        <w:gridCol w:w="2647"/>
        <w:gridCol w:w="3113"/>
      </w:tblGrid>
      <w:tr w:rsidR="00742AC6" w:rsidRPr="00441A34" w:rsidTr="0037115B">
        <w:tc>
          <w:tcPr>
            <w:tcW w:w="3060" w:type="dxa"/>
          </w:tcPr>
          <w:p w:rsidR="00742AC6" w:rsidRPr="00441A34" w:rsidRDefault="00742AC6">
            <w:pPr>
              <w:rPr>
                <w:b/>
              </w:rPr>
            </w:pPr>
            <w:r w:rsidRPr="00441A34">
              <w:rPr>
                <w:b/>
              </w:rPr>
              <w:t>Margaret Baird</w:t>
            </w:r>
          </w:p>
          <w:p w:rsidR="00742AC6" w:rsidRPr="00441A34" w:rsidRDefault="00742AC6">
            <w:pPr>
              <w:tabs>
                <w:tab w:val="left" w:pos="1515"/>
              </w:tabs>
              <w:rPr>
                <w:b/>
              </w:rPr>
            </w:pPr>
            <w:r w:rsidRPr="00441A34">
              <w:rPr>
                <w:b/>
              </w:rPr>
              <w:t>Senior Member</w:t>
            </w:r>
          </w:p>
        </w:tc>
        <w:tc>
          <w:tcPr>
            <w:tcW w:w="2647" w:type="dxa"/>
          </w:tcPr>
          <w:p w:rsidR="00742AC6" w:rsidRPr="00441A34" w:rsidRDefault="00742AC6">
            <w:pPr>
              <w:rPr>
                <w:b/>
              </w:rPr>
            </w:pPr>
          </w:p>
        </w:tc>
        <w:tc>
          <w:tcPr>
            <w:tcW w:w="3113" w:type="dxa"/>
          </w:tcPr>
          <w:p w:rsidR="00A6065D" w:rsidRPr="00441A34" w:rsidRDefault="00A6065D" w:rsidP="006A3A80">
            <w:pPr>
              <w:rPr>
                <w:b/>
              </w:rPr>
            </w:pPr>
          </w:p>
        </w:tc>
      </w:tr>
    </w:tbl>
    <w:p w:rsidR="009E10C3" w:rsidRDefault="009E10C3" w:rsidP="00FB33EE">
      <w:pPr>
        <w:pStyle w:val="Para1"/>
        <w:numPr>
          <w:ilvl w:val="0"/>
          <w:numId w:val="0"/>
        </w:numPr>
        <w:spacing w:after="0" w:line="240" w:lineRule="auto"/>
        <w:ind w:left="567" w:hanging="567"/>
      </w:pPr>
    </w:p>
    <w:p w:rsidR="006E7541" w:rsidRDefault="0076771C" w:rsidP="00DB3870">
      <w:pPr>
        <w:pStyle w:val="Heading1"/>
        <w:spacing w:before="120"/>
      </w:pPr>
      <w:r>
        <w:rPr>
          <w:noProof/>
          <w:lang w:eastAsia="en-AU"/>
        </w:rPr>
        <w:lastRenderedPageBreak/>
        <w:drawing>
          <wp:anchor distT="0" distB="0" distL="114300" distR="114300" simplePos="0" relativeHeight="251652096"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1" name="VCAT Seal2"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2"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A707CC">
        <w:t>APPEARANCES</w:t>
      </w:r>
    </w:p>
    <w:tbl>
      <w:tblPr>
        <w:tblW w:w="8962" w:type="dxa"/>
        <w:tblInd w:w="-34" w:type="dxa"/>
        <w:tblLayout w:type="fixed"/>
        <w:tblLook w:val="0000" w:firstRow="0" w:lastRow="0" w:firstColumn="0" w:lastColumn="0" w:noHBand="0" w:noVBand="0"/>
      </w:tblPr>
      <w:tblGrid>
        <w:gridCol w:w="2836"/>
        <w:gridCol w:w="6126"/>
      </w:tblGrid>
      <w:tr w:rsidR="004E5913" w:rsidRPr="007F72F1" w:rsidTr="00FF72B1">
        <w:trPr>
          <w:cantSplit/>
        </w:trPr>
        <w:tc>
          <w:tcPr>
            <w:tcW w:w="2836" w:type="dxa"/>
          </w:tcPr>
          <w:p w:rsidR="004E5913" w:rsidRPr="007F72F1" w:rsidRDefault="004E5913" w:rsidP="005109AD">
            <w:pPr>
              <w:pStyle w:val="TitlePagetext"/>
              <w:spacing w:before="120"/>
              <w:ind w:right="-108"/>
            </w:pPr>
            <w:r w:rsidRPr="007F72F1">
              <w:t xml:space="preserve">For </w:t>
            </w:r>
            <w:r w:rsidR="00553F36">
              <w:rPr>
                <w:color w:val="000000"/>
                <w:shd w:val="clear" w:color="auto" w:fill="FFFFFF"/>
              </w:rPr>
              <w:t>Serena Yau</w:t>
            </w:r>
          </w:p>
        </w:tc>
        <w:tc>
          <w:tcPr>
            <w:tcW w:w="6126" w:type="dxa"/>
          </w:tcPr>
          <w:p w:rsidR="00924381" w:rsidRDefault="00947647" w:rsidP="00947647">
            <w:pPr>
              <w:pStyle w:val="TitlePagetext"/>
              <w:spacing w:before="120"/>
            </w:pPr>
            <w:r w:rsidRPr="007F72F1">
              <w:t xml:space="preserve">Mr </w:t>
            </w:r>
            <w:r w:rsidR="003333B9">
              <w:t>N Crawford, solicitor, TP Legal</w:t>
            </w:r>
            <w:r w:rsidR="00924381">
              <w:t>.  He called the following persons to present expert evidence:</w:t>
            </w:r>
          </w:p>
          <w:p w:rsidR="00DB3870" w:rsidRDefault="00924381" w:rsidP="006E7787">
            <w:pPr>
              <w:pStyle w:val="TitlePagetext"/>
              <w:numPr>
                <w:ilvl w:val="0"/>
                <w:numId w:val="26"/>
              </w:numPr>
              <w:tabs>
                <w:tab w:val="left" w:pos="597"/>
              </w:tabs>
              <w:spacing w:before="120"/>
              <w:ind w:left="597" w:hanging="567"/>
            </w:pPr>
            <w:r>
              <w:t>Mr D Bowden, town planner</w:t>
            </w:r>
            <w:r w:rsidR="005109AD" w:rsidRPr="007F72F1">
              <w:t>.</w:t>
            </w:r>
          </w:p>
          <w:p w:rsidR="00924381" w:rsidRPr="007F72F1" w:rsidRDefault="006E7787" w:rsidP="006E7787">
            <w:pPr>
              <w:pStyle w:val="TitlePagetext"/>
              <w:numPr>
                <w:ilvl w:val="0"/>
                <w:numId w:val="26"/>
              </w:numPr>
              <w:tabs>
                <w:tab w:val="left" w:pos="597"/>
              </w:tabs>
              <w:spacing w:before="120"/>
              <w:ind w:left="597" w:hanging="567"/>
            </w:pPr>
            <w:r>
              <w:t xml:space="preserve">Mr </w:t>
            </w:r>
            <w:r w:rsidR="007E3651">
              <w:t>E</w:t>
            </w:r>
            <w:r>
              <w:t xml:space="preserve"> Dimitropo</w:t>
            </w:r>
            <w:r w:rsidR="009C22BF">
              <w:t>ulos</w:t>
            </w:r>
            <w:r>
              <w:t>, landscape architect.</w:t>
            </w:r>
          </w:p>
        </w:tc>
      </w:tr>
      <w:tr w:rsidR="004E5913" w:rsidTr="00FF72B1">
        <w:trPr>
          <w:cantSplit/>
        </w:trPr>
        <w:tc>
          <w:tcPr>
            <w:tcW w:w="2836" w:type="dxa"/>
          </w:tcPr>
          <w:p w:rsidR="004E5913" w:rsidRPr="007F72F1" w:rsidRDefault="004E5913" w:rsidP="004E5913">
            <w:pPr>
              <w:pStyle w:val="TitlePagetext"/>
              <w:ind w:right="-108"/>
            </w:pPr>
            <w:r w:rsidRPr="007F72F1">
              <w:t>For Monash City Council</w:t>
            </w:r>
          </w:p>
        </w:tc>
        <w:tc>
          <w:tcPr>
            <w:tcW w:w="6126" w:type="dxa"/>
          </w:tcPr>
          <w:p w:rsidR="004E5913" w:rsidRDefault="00924381" w:rsidP="005109AD">
            <w:pPr>
              <w:pStyle w:val="TitlePagetext"/>
            </w:pPr>
            <w:r>
              <w:t>Ms A Kellock</w:t>
            </w:r>
            <w:r w:rsidR="00C95168" w:rsidRPr="007F72F1">
              <w:t xml:space="preserve">, </w:t>
            </w:r>
            <w:r w:rsidR="00F4520E" w:rsidRPr="007F72F1">
              <w:t>planning consultant</w:t>
            </w:r>
            <w:r w:rsidR="004E5913" w:rsidRPr="007F72F1">
              <w:t>.</w:t>
            </w:r>
          </w:p>
        </w:tc>
      </w:tr>
      <w:tr w:rsidR="00924381" w:rsidTr="00FF72B1">
        <w:trPr>
          <w:cantSplit/>
        </w:trPr>
        <w:tc>
          <w:tcPr>
            <w:tcW w:w="2836" w:type="dxa"/>
          </w:tcPr>
          <w:p w:rsidR="00924381" w:rsidRPr="007F72F1" w:rsidRDefault="00924381" w:rsidP="004E5913">
            <w:pPr>
              <w:pStyle w:val="TitlePagetext"/>
              <w:ind w:right="-108"/>
            </w:pPr>
            <w:r>
              <w:t>For Hannah &amp; Kh</w:t>
            </w:r>
            <w:r w:rsidR="009C22BF">
              <w:t>i</w:t>
            </w:r>
            <w:r>
              <w:t>an Be</w:t>
            </w:r>
          </w:p>
        </w:tc>
        <w:tc>
          <w:tcPr>
            <w:tcW w:w="6126" w:type="dxa"/>
          </w:tcPr>
          <w:p w:rsidR="00924381" w:rsidRDefault="00842612" w:rsidP="005109AD">
            <w:pPr>
              <w:pStyle w:val="TitlePagetext"/>
            </w:pPr>
            <w:r>
              <w:t>No appearance.</w:t>
            </w:r>
          </w:p>
        </w:tc>
      </w:tr>
    </w:tbl>
    <w:p w:rsidR="00525524" w:rsidRPr="003336EC" w:rsidRDefault="00525524" w:rsidP="003336EC">
      <w:pPr>
        <w:pStyle w:val="Heading1"/>
      </w:pPr>
      <w:r w:rsidRPr="003336EC">
        <w:t>INFORMATION</w:t>
      </w:r>
      <w:r w:rsidRPr="003336EC">
        <w:tab/>
      </w:r>
      <w:r w:rsidR="00A32E6F" w:rsidRPr="003336EC">
        <w:rPr>
          <w:rStyle w:val="FootnoteReference"/>
        </w:rPr>
        <w:footnoteReference w:id="1"/>
      </w:r>
    </w:p>
    <w:tbl>
      <w:tblPr>
        <w:tblW w:w="5039" w:type="pct"/>
        <w:tblInd w:w="-34" w:type="dxa"/>
        <w:tblLayout w:type="fixed"/>
        <w:tblLook w:val="0000" w:firstRow="0" w:lastRow="0" w:firstColumn="0" w:lastColumn="0" w:noHBand="0" w:noVBand="0"/>
      </w:tblPr>
      <w:tblGrid>
        <w:gridCol w:w="2765"/>
        <w:gridCol w:w="5806"/>
      </w:tblGrid>
      <w:tr w:rsidR="00525524" w:rsidTr="00FF72B1">
        <w:trPr>
          <w:cantSplit/>
        </w:trPr>
        <w:tc>
          <w:tcPr>
            <w:tcW w:w="1613" w:type="pct"/>
          </w:tcPr>
          <w:p w:rsidR="00525524" w:rsidRDefault="00355D09" w:rsidP="00807983">
            <w:pPr>
              <w:pStyle w:val="TitlePagetext"/>
              <w:spacing w:before="100" w:after="80"/>
            </w:pPr>
            <w:r>
              <w:t>Description of p</w:t>
            </w:r>
            <w:r w:rsidR="00525524">
              <w:t>roposal</w:t>
            </w:r>
          </w:p>
        </w:tc>
        <w:tc>
          <w:tcPr>
            <w:tcW w:w="3387" w:type="pct"/>
          </w:tcPr>
          <w:p w:rsidR="00FF72B1" w:rsidRDefault="009C22BF" w:rsidP="00FF72B1">
            <w:pPr>
              <w:pStyle w:val="Para5"/>
              <w:numPr>
                <w:ilvl w:val="0"/>
                <w:numId w:val="0"/>
              </w:numPr>
              <w:spacing w:before="100" w:after="80" w:line="240" w:lineRule="auto"/>
            </w:pPr>
            <w:r>
              <w:t>S</w:t>
            </w:r>
            <w:r w:rsidR="00FF72B1">
              <w:t>ide</w:t>
            </w:r>
            <w:r>
              <w:t>-</w:t>
            </w:r>
            <w:r w:rsidR="00FF72B1">
              <w:t>by</w:t>
            </w:r>
            <w:r>
              <w:t>-</w:t>
            </w:r>
            <w:r w:rsidR="00FF72B1">
              <w:t>side, two and three storey dwellings.  No vegetation is proposed to be removed.</w:t>
            </w:r>
            <w:r w:rsidR="00D20F47">
              <w:t xml:space="preserve">  A street tree is to be retained.</w:t>
            </w:r>
          </w:p>
        </w:tc>
      </w:tr>
      <w:tr w:rsidR="00525524" w:rsidTr="00FF72B1">
        <w:trPr>
          <w:cantSplit/>
        </w:trPr>
        <w:tc>
          <w:tcPr>
            <w:tcW w:w="1613" w:type="pct"/>
          </w:tcPr>
          <w:p w:rsidR="00525524" w:rsidRDefault="00355D09" w:rsidP="00807983">
            <w:pPr>
              <w:pStyle w:val="TitlePagetext"/>
              <w:spacing w:before="100" w:after="80"/>
              <w:ind w:right="-109"/>
            </w:pPr>
            <w:r>
              <w:t>Nature of a</w:t>
            </w:r>
            <w:r w:rsidR="00525524">
              <w:t>pplication</w:t>
            </w:r>
          </w:p>
        </w:tc>
        <w:tc>
          <w:tcPr>
            <w:tcW w:w="3387" w:type="pct"/>
          </w:tcPr>
          <w:p w:rsidR="00525524" w:rsidRDefault="00525524" w:rsidP="004E5913">
            <w:pPr>
              <w:pStyle w:val="Para5"/>
              <w:numPr>
                <w:ilvl w:val="0"/>
                <w:numId w:val="0"/>
              </w:numPr>
              <w:spacing w:before="100" w:after="80" w:line="240" w:lineRule="auto"/>
            </w:pPr>
            <w:r>
              <w:t xml:space="preserve">Application under Section 77 of the </w:t>
            </w:r>
            <w:r>
              <w:rPr>
                <w:i/>
              </w:rPr>
              <w:t xml:space="preserve">Planning and Environment Act </w:t>
            </w:r>
            <w:r>
              <w:t xml:space="preserve">1987 – to review the refusal to grant a permit. </w:t>
            </w:r>
          </w:p>
        </w:tc>
      </w:tr>
      <w:tr w:rsidR="00355D09" w:rsidRPr="005C699E" w:rsidTr="00FF72B1">
        <w:trPr>
          <w:cantSplit/>
        </w:trPr>
        <w:tc>
          <w:tcPr>
            <w:tcW w:w="1613" w:type="pct"/>
          </w:tcPr>
          <w:p w:rsidR="00355D09" w:rsidRPr="005C699E" w:rsidRDefault="00355D09" w:rsidP="00221956">
            <w:pPr>
              <w:pStyle w:val="TitlePagetext"/>
              <w:spacing w:before="100" w:after="80"/>
            </w:pPr>
            <w:r>
              <w:t xml:space="preserve">Planning scheme </w:t>
            </w:r>
          </w:p>
        </w:tc>
        <w:tc>
          <w:tcPr>
            <w:tcW w:w="3387" w:type="pct"/>
          </w:tcPr>
          <w:p w:rsidR="00355D09" w:rsidRPr="005C699E" w:rsidRDefault="00355D09" w:rsidP="00221956">
            <w:pPr>
              <w:pStyle w:val="Para5"/>
              <w:numPr>
                <w:ilvl w:val="0"/>
                <w:numId w:val="0"/>
              </w:numPr>
              <w:spacing w:before="100" w:after="80" w:line="240" w:lineRule="auto"/>
            </w:pPr>
            <w:r>
              <w:t>Monash Planning Scheme</w:t>
            </w:r>
            <w:r w:rsidR="003336EC">
              <w:t xml:space="preserve"> [scheme].</w:t>
            </w:r>
          </w:p>
        </w:tc>
      </w:tr>
      <w:tr w:rsidR="00D436B2" w:rsidRPr="005C699E" w:rsidTr="00FF72B1">
        <w:trPr>
          <w:cantSplit/>
        </w:trPr>
        <w:tc>
          <w:tcPr>
            <w:tcW w:w="1613" w:type="pct"/>
          </w:tcPr>
          <w:p w:rsidR="00D436B2" w:rsidRPr="005C699E" w:rsidRDefault="00355D09" w:rsidP="00C36973">
            <w:pPr>
              <w:pStyle w:val="TitlePagetext"/>
              <w:spacing w:before="100" w:after="80"/>
            </w:pPr>
            <w:r>
              <w:t>Zone and o</w:t>
            </w:r>
            <w:r w:rsidR="00D436B2" w:rsidRPr="005C699E">
              <w:t>verlays</w:t>
            </w:r>
            <w:r w:rsidR="00D436B2">
              <w:t xml:space="preserve"> </w:t>
            </w:r>
          </w:p>
        </w:tc>
        <w:tc>
          <w:tcPr>
            <w:tcW w:w="3387" w:type="pct"/>
          </w:tcPr>
          <w:p w:rsidR="00D436B2" w:rsidRDefault="00D436B2" w:rsidP="00C36973">
            <w:pPr>
              <w:pStyle w:val="Para5"/>
              <w:numPr>
                <w:ilvl w:val="0"/>
                <w:numId w:val="0"/>
              </w:numPr>
              <w:spacing w:before="100" w:after="80" w:line="240" w:lineRule="auto"/>
            </w:pPr>
            <w:r>
              <w:t>General Residential Zone [GRZ]</w:t>
            </w:r>
            <w:r w:rsidR="00F50314">
              <w:t xml:space="preserve"> Schedule 2</w:t>
            </w:r>
            <w:r>
              <w:t>.</w:t>
            </w:r>
            <w:r w:rsidR="00924381">
              <w:t xml:space="preserve">  </w:t>
            </w:r>
            <w:r w:rsidR="00924381">
              <w:rPr>
                <w:szCs w:val="20"/>
              </w:rPr>
              <w:t xml:space="preserve">Vegetation </w:t>
            </w:r>
            <w:r w:rsidR="009C22BF">
              <w:rPr>
                <w:szCs w:val="20"/>
              </w:rPr>
              <w:t>P</w:t>
            </w:r>
            <w:r w:rsidR="00924381">
              <w:rPr>
                <w:szCs w:val="20"/>
              </w:rPr>
              <w:t>rotection Overlay VPO1</w:t>
            </w:r>
            <w:r w:rsidR="009C22BF">
              <w:t>.</w:t>
            </w:r>
          </w:p>
          <w:p w:rsidR="00CB7824" w:rsidRPr="005C699E" w:rsidRDefault="0076771C" w:rsidP="00C36973">
            <w:pPr>
              <w:pStyle w:val="Para5"/>
              <w:numPr>
                <w:ilvl w:val="0"/>
                <w:numId w:val="0"/>
              </w:numPr>
              <w:spacing w:before="100" w:after="80" w:line="240" w:lineRule="auto"/>
            </w:pPr>
            <w:r>
              <w:rPr>
                <w:noProof/>
                <w:lang w:eastAsia="en-AU"/>
              </w:rPr>
              <w:drawing>
                <wp:inline distT="0" distB="0" distL="0" distR="0">
                  <wp:extent cx="3124200"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1323975"/>
                          </a:xfrm>
                          <a:prstGeom prst="rect">
                            <a:avLst/>
                          </a:prstGeom>
                          <a:noFill/>
                          <a:ln>
                            <a:noFill/>
                          </a:ln>
                        </pic:spPr>
                      </pic:pic>
                    </a:graphicData>
                  </a:graphic>
                </wp:inline>
              </w:drawing>
            </w:r>
          </w:p>
        </w:tc>
      </w:tr>
      <w:tr w:rsidR="00525524" w:rsidRPr="005C699E" w:rsidTr="00FF72B1">
        <w:trPr>
          <w:cantSplit/>
        </w:trPr>
        <w:tc>
          <w:tcPr>
            <w:tcW w:w="1613" w:type="pct"/>
          </w:tcPr>
          <w:p w:rsidR="00525524" w:rsidRPr="005C699E" w:rsidRDefault="007E29A7" w:rsidP="00807983">
            <w:pPr>
              <w:pStyle w:val="TitlePagetext"/>
              <w:spacing w:before="100" w:after="80"/>
            </w:pPr>
            <w:r>
              <w:t>Permit r</w:t>
            </w:r>
            <w:r w:rsidR="00D436B2">
              <w:t>equirements</w:t>
            </w:r>
            <w:r w:rsidR="00525524">
              <w:t xml:space="preserve"> </w:t>
            </w:r>
          </w:p>
        </w:tc>
        <w:tc>
          <w:tcPr>
            <w:tcW w:w="3387" w:type="pct"/>
          </w:tcPr>
          <w:p w:rsidR="00DB3870" w:rsidRPr="005C699E" w:rsidRDefault="00D436B2" w:rsidP="00E62C6E">
            <w:pPr>
              <w:pStyle w:val="Para5"/>
              <w:numPr>
                <w:ilvl w:val="0"/>
                <w:numId w:val="0"/>
              </w:numPr>
              <w:spacing w:before="100" w:after="80" w:line="240" w:lineRule="auto"/>
            </w:pPr>
            <w:r>
              <w:t>C</w:t>
            </w:r>
            <w:r w:rsidR="001D19E0">
              <w:t>lause 32.08-</w:t>
            </w:r>
            <w:r w:rsidR="002364DF">
              <w:t>6</w:t>
            </w:r>
            <w:r w:rsidR="00355D09">
              <w:t xml:space="preserve"> to construct two or more dwellings on a lot</w:t>
            </w:r>
            <w:r>
              <w:t>.</w:t>
            </w:r>
            <w:r w:rsidR="00FF72B1">
              <w:t xml:space="preserve">  </w:t>
            </w:r>
          </w:p>
        </w:tc>
      </w:tr>
      <w:tr w:rsidR="00525524" w:rsidRPr="005C699E" w:rsidTr="00FF72B1">
        <w:trPr>
          <w:cantSplit/>
        </w:trPr>
        <w:tc>
          <w:tcPr>
            <w:tcW w:w="1613" w:type="pct"/>
          </w:tcPr>
          <w:p w:rsidR="00525524" w:rsidRPr="005C699E" w:rsidRDefault="00525524" w:rsidP="007E29A7">
            <w:pPr>
              <w:pStyle w:val="TitlePagetext"/>
              <w:spacing w:before="100" w:after="80"/>
            </w:pPr>
            <w:r>
              <w:t xml:space="preserve">Relevant </w:t>
            </w:r>
            <w:r w:rsidR="007E29A7">
              <w:t>s</w:t>
            </w:r>
            <w:r>
              <w:t xml:space="preserve">cheme </w:t>
            </w:r>
            <w:r w:rsidR="007E29A7">
              <w:t>p</w:t>
            </w:r>
            <w:r>
              <w:t xml:space="preserve">olicies and </w:t>
            </w:r>
            <w:r w:rsidR="007E29A7">
              <w:t>p</w:t>
            </w:r>
            <w:r>
              <w:t>rovisions</w:t>
            </w:r>
          </w:p>
        </w:tc>
        <w:tc>
          <w:tcPr>
            <w:tcW w:w="3387" w:type="pct"/>
          </w:tcPr>
          <w:p w:rsidR="00525524" w:rsidRPr="005C699E" w:rsidRDefault="00355D09" w:rsidP="00355D09">
            <w:pPr>
              <w:pStyle w:val="Para1"/>
              <w:numPr>
                <w:ilvl w:val="0"/>
                <w:numId w:val="0"/>
              </w:numPr>
              <w:spacing w:before="100" w:after="80" w:line="240" w:lineRule="auto"/>
            </w:pPr>
            <w:r>
              <w:t>Clauses 11</w:t>
            </w:r>
            <w:r w:rsidR="00525524">
              <w:t xml:space="preserve">, </w:t>
            </w:r>
            <w:r w:rsidR="00D436B2">
              <w:t xml:space="preserve">15, 16, 21, 22.01, 22.04, 22.05, 32.08, </w:t>
            </w:r>
            <w:r>
              <w:t>52.06, 55, 65 and 71</w:t>
            </w:r>
            <w:r w:rsidR="00525524">
              <w:t xml:space="preserve">. </w:t>
            </w:r>
          </w:p>
        </w:tc>
      </w:tr>
      <w:tr w:rsidR="00525524" w:rsidTr="00FF72B1">
        <w:trPr>
          <w:cantSplit/>
        </w:trPr>
        <w:tc>
          <w:tcPr>
            <w:tcW w:w="1613" w:type="pct"/>
          </w:tcPr>
          <w:p w:rsidR="00525524" w:rsidRDefault="007E29A7" w:rsidP="00807983">
            <w:pPr>
              <w:pStyle w:val="TitlePagetext"/>
              <w:spacing w:before="100" w:after="80"/>
            </w:pPr>
            <w:r>
              <w:t>Land d</w:t>
            </w:r>
            <w:r w:rsidR="00525524">
              <w:t>escription</w:t>
            </w:r>
          </w:p>
        </w:tc>
        <w:tc>
          <w:tcPr>
            <w:tcW w:w="3387" w:type="pct"/>
          </w:tcPr>
          <w:p w:rsidR="00833190" w:rsidRPr="005C2F0F" w:rsidRDefault="00525524" w:rsidP="00924381">
            <w:pPr>
              <w:spacing w:before="100" w:after="80"/>
            </w:pPr>
            <w:r w:rsidRPr="009568BF">
              <w:t xml:space="preserve">The </w:t>
            </w:r>
            <w:r w:rsidR="00772FC6">
              <w:t xml:space="preserve">vacant </w:t>
            </w:r>
            <w:r>
              <w:t>subject land</w:t>
            </w:r>
            <w:r w:rsidRPr="009568BF">
              <w:t xml:space="preserve"> </w:t>
            </w:r>
            <w:r w:rsidR="00E920D4">
              <w:t>is on the south side of Armstrong Street</w:t>
            </w:r>
            <w:r w:rsidR="0096168C">
              <w:t>.</w:t>
            </w:r>
            <w:r w:rsidR="006A0C8B">
              <w:t xml:space="preserve">  It is </w:t>
            </w:r>
            <w:r w:rsidR="00772FC6">
              <w:t>808</w:t>
            </w:r>
            <w:r w:rsidR="006A0C8B">
              <w:t>m</w:t>
            </w:r>
            <w:r w:rsidR="006A0C8B" w:rsidRPr="00772FC6">
              <w:rPr>
                <w:vertAlign w:val="superscript"/>
              </w:rPr>
              <w:t>2</w:t>
            </w:r>
            <w:r w:rsidR="00772FC6">
              <w:rPr>
                <w:vertAlign w:val="superscript"/>
              </w:rPr>
              <w:t xml:space="preserve"> </w:t>
            </w:r>
            <w:r w:rsidR="00772FC6">
              <w:t>with a frontage of 17.68 metres.</w:t>
            </w:r>
            <w:r w:rsidR="006A0C8B">
              <w:t xml:space="preserve">  The land falls from the front to the rear by some 5.4 metres and has a crossfall of around </w:t>
            </w:r>
            <w:r w:rsidR="00772FC6">
              <w:t>1</w:t>
            </w:r>
            <w:r w:rsidR="006A0C8B">
              <w:t xml:space="preserve"> metre.</w:t>
            </w:r>
          </w:p>
        </w:tc>
      </w:tr>
      <w:tr w:rsidR="00525524" w:rsidTr="00FF72B1">
        <w:trPr>
          <w:cantSplit/>
        </w:trPr>
        <w:tc>
          <w:tcPr>
            <w:tcW w:w="1613" w:type="pct"/>
          </w:tcPr>
          <w:p w:rsidR="00525524" w:rsidRPr="00CB2232" w:rsidRDefault="007E29A7" w:rsidP="00807983">
            <w:pPr>
              <w:pStyle w:val="TitlePagetext"/>
              <w:spacing w:before="100" w:after="80"/>
            </w:pPr>
            <w:r>
              <w:t>Tribunal i</w:t>
            </w:r>
            <w:r w:rsidR="00525524" w:rsidRPr="00CB2232">
              <w:t>nspection</w:t>
            </w:r>
          </w:p>
        </w:tc>
        <w:tc>
          <w:tcPr>
            <w:tcW w:w="3387" w:type="pct"/>
          </w:tcPr>
          <w:p w:rsidR="00525524" w:rsidRPr="008C679A" w:rsidRDefault="007E3651" w:rsidP="00DB3870">
            <w:pPr>
              <w:pStyle w:val="TitlePagetext"/>
              <w:spacing w:before="100" w:after="80"/>
            </w:pPr>
            <w:r>
              <w:t>24</w:t>
            </w:r>
            <w:r w:rsidR="00924381">
              <w:t xml:space="preserve"> February 2019</w:t>
            </w:r>
            <w:r w:rsidR="00525524" w:rsidRPr="00CB2232">
              <w:t xml:space="preserve"> (unaccompanied).</w:t>
            </w:r>
          </w:p>
        </w:tc>
      </w:tr>
      <w:tr w:rsidR="008B208B" w:rsidRPr="00F95763" w:rsidTr="00FF72B1">
        <w:trPr>
          <w:cantSplit/>
        </w:trPr>
        <w:tc>
          <w:tcPr>
            <w:tcW w:w="1613" w:type="pct"/>
          </w:tcPr>
          <w:p w:rsidR="008B208B" w:rsidRPr="00F95763" w:rsidRDefault="008B208B" w:rsidP="00807983">
            <w:pPr>
              <w:pStyle w:val="TitlePagetext"/>
              <w:spacing w:before="100" w:after="80"/>
              <w:rPr>
                <w:color w:val="000000"/>
              </w:rPr>
            </w:pPr>
            <w:r w:rsidRPr="00F95763">
              <w:rPr>
                <w:color w:val="000000"/>
              </w:rPr>
              <w:lastRenderedPageBreak/>
              <w:t>Case referred to</w:t>
            </w:r>
          </w:p>
        </w:tc>
        <w:tc>
          <w:tcPr>
            <w:tcW w:w="3387" w:type="pct"/>
          </w:tcPr>
          <w:p w:rsidR="00B36E87" w:rsidRPr="00F95763" w:rsidRDefault="00B36E87" w:rsidP="00B36E87">
            <w:pPr>
              <w:pStyle w:val="TitlePagetext"/>
              <w:spacing w:before="100" w:after="80"/>
              <w:rPr>
                <w:color w:val="000000"/>
              </w:rPr>
            </w:pPr>
            <w:r w:rsidRPr="00F95763">
              <w:rPr>
                <w:i/>
                <w:color w:val="000000"/>
                <w:spacing w:val="-5"/>
              </w:rPr>
              <w:t>Be v Monash CC</w:t>
            </w:r>
            <w:r w:rsidRPr="00F95763">
              <w:rPr>
                <w:color w:val="000000"/>
                <w:spacing w:val="-5"/>
              </w:rPr>
              <w:t xml:space="preserve"> [2012] VCAT 919</w:t>
            </w:r>
            <w:r w:rsidR="00134712" w:rsidRPr="00F95763">
              <w:rPr>
                <w:color w:val="000000"/>
                <w:spacing w:val="-5"/>
              </w:rPr>
              <w:t>.</w:t>
            </w:r>
          </w:p>
        </w:tc>
      </w:tr>
    </w:tbl>
    <w:p w:rsidR="00A50B36" w:rsidRPr="003C6E09" w:rsidRDefault="00065857" w:rsidP="00A73801">
      <w:pPr>
        <w:pStyle w:val="Heading1"/>
        <w:spacing w:before="0" w:after="0"/>
      </w:pPr>
      <w:r>
        <w:br w:type="page"/>
      </w:r>
      <w:r w:rsidR="0076771C">
        <w:rPr>
          <w:noProof/>
          <w:lang w:eastAsia="en-AU"/>
        </w:rPr>
        <w:lastRenderedPageBreak/>
        <w:drawing>
          <wp:anchor distT="0" distB="0" distL="114300" distR="114300" simplePos="0" relativeHeight="251653120"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2" name="VCAT Seal3"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3"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A50B36" w:rsidRPr="003C6E09">
        <w:t>Reasons</w:t>
      </w:r>
      <w:r w:rsidR="00A50B36" w:rsidRPr="003C6E09">
        <w:rPr>
          <w:rStyle w:val="FootnoteReference"/>
        </w:rPr>
        <w:footnoteReference w:id="2"/>
      </w:r>
    </w:p>
    <w:p w:rsidR="00A50B36" w:rsidRDefault="00A50B36" w:rsidP="00A50B36">
      <w:pPr>
        <w:pStyle w:val="Heading2"/>
      </w:pPr>
      <w:r>
        <w:t>What is this proceeding about?</w:t>
      </w:r>
    </w:p>
    <w:p w:rsidR="00772FC6" w:rsidRDefault="00B36E87" w:rsidP="00F3239C">
      <w:pPr>
        <w:pStyle w:val="Para1"/>
      </w:pPr>
      <w:r>
        <w:rPr>
          <w:color w:val="000000"/>
          <w:shd w:val="clear" w:color="auto" w:fill="FFFFFF"/>
        </w:rPr>
        <w:t>Serena Yau</w:t>
      </w:r>
      <w:r w:rsidR="007E3651">
        <w:rPr>
          <w:color w:val="000000"/>
          <w:shd w:val="clear" w:color="auto" w:fill="FFFFFF"/>
        </w:rPr>
        <w:t xml:space="preserve"> proposes to </w:t>
      </w:r>
      <w:r w:rsidR="0044751B">
        <w:t>develop two</w:t>
      </w:r>
      <w:r w:rsidR="00772FC6">
        <w:t>, side-by-side</w:t>
      </w:r>
      <w:r w:rsidR="0044751B">
        <w:t xml:space="preserve"> dwellings on the subject land.  </w:t>
      </w:r>
      <w:r w:rsidR="00772FC6">
        <w:t>The four bedroom dwellings each have a double garage with separate vehicle access points.  The dwellings are two to three storeys in scale, with flat and skillion roof forms.</w:t>
      </w:r>
    </w:p>
    <w:p w:rsidR="00B36E87" w:rsidRPr="00B36E87" w:rsidRDefault="0044751B" w:rsidP="00F3239C">
      <w:pPr>
        <w:pStyle w:val="Para1"/>
      </w:pPr>
      <w:r>
        <w:t>Monash City Council refused a permit for this proposal on multiple grounds that,</w:t>
      </w:r>
      <w:r w:rsidR="00772FC6">
        <w:t xml:space="preserve"> primarily</w:t>
      </w:r>
      <w:r>
        <w:t>, contend the design response fails in terms of neighbourhood character</w:t>
      </w:r>
      <w:r w:rsidR="00772FC6">
        <w:t xml:space="preserve">.  This is </w:t>
      </w:r>
      <w:r w:rsidR="00C320C9">
        <w:t>because</w:t>
      </w:r>
      <w:r w:rsidR="00772FC6">
        <w:t xml:space="preserve"> of </w:t>
      </w:r>
      <w:r w:rsidR="00C320C9">
        <w:t xml:space="preserve">the </w:t>
      </w:r>
      <w:r w:rsidR="00772FC6">
        <w:t>building scale, bulk, dominance of garaging, and lack of space for canopy planting.  The Council also identifies other issues with respect to impacts on neighbouring properties, overshadowing and overlooking within the site, and energy efficiency.</w:t>
      </w:r>
    </w:p>
    <w:p w:rsidR="0044751B" w:rsidRDefault="000F3C2B" w:rsidP="00F3239C">
      <w:pPr>
        <w:pStyle w:val="Para1"/>
      </w:pPr>
      <w:r>
        <w:t xml:space="preserve">The permit applicant has brought </w:t>
      </w:r>
      <w:r w:rsidR="00224387">
        <w:t>this</w:t>
      </w:r>
      <w:r>
        <w:t xml:space="preserve"> pro</w:t>
      </w:r>
      <w:r w:rsidR="00075875">
        <w:t xml:space="preserve">ceeding to the Tribunal asking to set aside </w:t>
      </w:r>
      <w:r>
        <w:t xml:space="preserve">the Council’s decision.  </w:t>
      </w:r>
      <w:r w:rsidR="007F70B7">
        <w:t>It</w:t>
      </w:r>
      <w:r>
        <w:t xml:space="preserve"> challenge</w:t>
      </w:r>
      <w:r w:rsidR="009F0931">
        <w:t>s</w:t>
      </w:r>
      <w:r>
        <w:t xml:space="preserve"> all grounds argued by </w:t>
      </w:r>
      <w:r w:rsidR="009F0931">
        <w:t xml:space="preserve">the Council and </w:t>
      </w:r>
      <w:r w:rsidR="00F3239C">
        <w:t>other persons opposing the permit application</w:t>
      </w:r>
      <w:r w:rsidR="009F0931">
        <w:t>.</w:t>
      </w:r>
      <w:r w:rsidR="00772FC6">
        <w:t xml:space="preserve">  Relying on expert planning and landscape evidence, the applicant submits the </w:t>
      </w:r>
      <w:r w:rsidR="004A51AD">
        <w:t xml:space="preserve">development of the land with two dwellings is appropriate and meets clause 55 requirements.  The </w:t>
      </w:r>
      <w:r w:rsidR="00772FC6">
        <w:t>proposal</w:t>
      </w:r>
      <w:r w:rsidR="004A51AD">
        <w:t xml:space="preserve">’s scale, form and presentation </w:t>
      </w:r>
      <w:r w:rsidR="00E32013">
        <w:t>are</w:t>
      </w:r>
      <w:r w:rsidR="004A51AD">
        <w:t xml:space="preserve"> </w:t>
      </w:r>
      <w:r w:rsidR="00772FC6">
        <w:t>a comfortable fit</w:t>
      </w:r>
      <w:r w:rsidR="004A51AD">
        <w:t xml:space="preserve">.  </w:t>
      </w:r>
      <w:r w:rsidR="00536A7D">
        <w:t>The applicant says the design</w:t>
      </w:r>
      <w:r w:rsidR="004A51AD">
        <w:t xml:space="preserve"> responds </w:t>
      </w:r>
      <w:r w:rsidR="00536A7D">
        <w:t xml:space="preserve">appropriately </w:t>
      </w:r>
      <w:r w:rsidR="004A51AD">
        <w:t xml:space="preserve">to the character of the area, topography, and amenity of neighbours.  </w:t>
      </w:r>
      <w:r w:rsidR="00536A7D">
        <w:t>It submits a</w:t>
      </w:r>
      <w:r w:rsidR="004A51AD">
        <w:t xml:space="preserve"> side-by-side format is appropriate and will maintain the rear garden character.  The building is similar in scale and proportions as the side-by-side development to the east, at No. 10 Armstrong Street. The applicant submits the design achieves the landscape outcomes sought by the scheme.  </w:t>
      </w:r>
    </w:p>
    <w:p w:rsidR="00497BDB" w:rsidRDefault="0044751B" w:rsidP="002B1761">
      <w:pPr>
        <w:pStyle w:val="Para1"/>
      </w:pPr>
      <w:r>
        <w:t>Respondents</w:t>
      </w:r>
      <w:r w:rsidR="009C22BF">
        <w:t>’</w:t>
      </w:r>
      <w:r>
        <w:t xml:space="preserve"> grounds raise </w:t>
      </w:r>
      <w:r w:rsidR="004A51AD">
        <w:t>some similar concerns as the Council</w:t>
      </w:r>
      <w:r w:rsidR="00337BFC">
        <w:t xml:space="preserve">.  They identify </w:t>
      </w:r>
      <w:r w:rsidR="004A51AD">
        <w:t>issues relating to the building’s street setback, flat roof form, setbacks, overlooking, overshadowing of solar panels, lack of planting area and stormwater management.</w:t>
      </w:r>
      <w:r w:rsidR="009F0931">
        <w:t xml:space="preserve">  </w:t>
      </w:r>
    </w:p>
    <w:p w:rsidR="00A47DE7" w:rsidRPr="00A47DE7" w:rsidRDefault="00A50B36" w:rsidP="00F3239C">
      <w:pPr>
        <w:pStyle w:val="Para1"/>
      </w:pPr>
      <w:r>
        <w:t xml:space="preserve">I must decide whether the proposal achieves an acceptable planning outcome having regard to the relevant </w:t>
      </w:r>
      <w:r w:rsidR="0096168C">
        <w:t xml:space="preserve">policies and </w:t>
      </w:r>
      <w:r>
        <w:t>provisions of th</w:t>
      </w:r>
      <w:r w:rsidR="00A47DE7">
        <w:t>e s</w:t>
      </w:r>
      <w:r w:rsidR="003C6E09">
        <w:t>cheme</w:t>
      </w:r>
      <w:r>
        <w:t xml:space="preserve">. </w:t>
      </w:r>
      <w:r w:rsidR="00A47DE7">
        <w:t xml:space="preserve"> </w:t>
      </w:r>
      <w:r w:rsidR="00A47DE7" w:rsidRPr="007367E8">
        <w:rPr>
          <w:color w:val="000000"/>
        </w:rPr>
        <w:t>Clause 71 requires the decision-maker to integrate the range of policies relevant to the issues to be determined and balance conflicting objectives in favour of net community benefit and sustainable developmen</w:t>
      </w:r>
      <w:r w:rsidR="00A47DE7">
        <w:rPr>
          <w:color w:val="000000"/>
        </w:rPr>
        <w:t>t.</w:t>
      </w:r>
      <w:r w:rsidR="00A47DE7">
        <w:t xml:space="preserve">  </w:t>
      </w:r>
    </w:p>
    <w:p w:rsidR="00633BBA" w:rsidRDefault="00633BBA" w:rsidP="00633BBA">
      <w:pPr>
        <w:pStyle w:val="Para1"/>
      </w:pPr>
      <w:r>
        <w:t>The key matter for my determination is:</w:t>
      </w:r>
    </w:p>
    <w:p w:rsidR="00633BBA" w:rsidRDefault="00633BBA" w:rsidP="00633BBA">
      <w:pPr>
        <w:pStyle w:val="Para5"/>
      </w:pPr>
      <w:r>
        <w:t>Whether the proposal respects the neighbourhood character and contributes to the preferred character.</w:t>
      </w:r>
    </w:p>
    <w:p w:rsidR="00616B61" w:rsidRDefault="00633BBA" w:rsidP="000C4527">
      <w:pPr>
        <w:pStyle w:val="Para1"/>
      </w:pPr>
      <w:r>
        <w:t>Other matters include w</w:t>
      </w:r>
      <w:r w:rsidR="00F3239C">
        <w:t>hether off-site amenity impacts are acceptable</w:t>
      </w:r>
      <w:r>
        <w:t>, w</w:t>
      </w:r>
      <w:r w:rsidR="0006012B">
        <w:t xml:space="preserve">hether </w:t>
      </w:r>
      <w:r w:rsidR="00F3239C">
        <w:t>the design achieves an acceptable level of internal amenity</w:t>
      </w:r>
      <w:r>
        <w:t>, and w</w:t>
      </w:r>
      <w:r w:rsidR="00F3239C">
        <w:t xml:space="preserve">hether </w:t>
      </w:r>
      <w:r w:rsidR="004A51AD">
        <w:t>any other matters warrant refusal of a permit</w:t>
      </w:r>
      <w:r w:rsidR="00616B61">
        <w:t>.</w:t>
      </w:r>
    </w:p>
    <w:p w:rsidR="00A50B36" w:rsidRDefault="0076771C" w:rsidP="00A50B36">
      <w:pPr>
        <w:pStyle w:val="Heading2"/>
      </w:pPr>
      <w:r>
        <w:rPr>
          <w:noProof/>
          <w:lang w:eastAsia="en-AU"/>
        </w:rPr>
        <w:lastRenderedPageBreak/>
        <w:drawing>
          <wp:anchor distT="0" distB="0" distL="114300" distR="114300" simplePos="0" relativeHeight="251654144"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3" name="VCAT Seal4"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4"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A50B36">
        <w:t>WHAT ARE THE RELEVANT PHYSICAL AND PLANNING CONTEXTS?</w:t>
      </w:r>
    </w:p>
    <w:p w:rsidR="001938D1" w:rsidRDefault="001938D1" w:rsidP="001938D1">
      <w:pPr>
        <w:pStyle w:val="Heading3"/>
      </w:pPr>
      <w:r>
        <w:t>Physical setting</w:t>
      </w:r>
    </w:p>
    <w:p w:rsidR="001A307F" w:rsidRDefault="00A50B36" w:rsidP="002B1761">
      <w:pPr>
        <w:pStyle w:val="Para1"/>
        <w:spacing w:before="100" w:after="80"/>
        <w:ind w:right="-135"/>
      </w:pPr>
      <w:r>
        <w:t xml:space="preserve">The subject land </w:t>
      </w:r>
      <w:r w:rsidR="00E64465">
        <w:t xml:space="preserve">is in </w:t>
      </w:r>
      <w:r w:rsidR="00EC776A">
        <w:t>an established residential area</w:t>
      </w:r>
      <w:r w:rsidR="0082595C">
        <w:t>, a</w:t>
      </w:r>
      <w:r w:rsidR="000D0D29">
        <w:t xml:space="preserve">s </w:t>
      </w:r>
      <w:r w:rsidR="00267065">
        <w:t>shown</w:t>
      </w:r>
      <w:r w:rsidR="000D0D29">
        <w:t xml:space="preserve"> in the Nearmap </w:t>
      </w:r>
      <w:r w:rsidR="009F66B0">
        <w:t>aerial image</w:t>
      </w:r>
      <w:r w:rsidR="000D0D29">
        <w:t xml:space="preserve"> below</w:t>
      </w:r>
      <w:r w:rsidR="0082595C">
        <w:t>.  T</w:t>
      </w:r>
      <w:r w:rsidR="00F3239C">
        <w:t xml:space="preserve">wo storey dwellings abut the land to its east and west.  The property to the </w:t>
      </w:r>
      <w:r w:rsidR="0031628D">
        <w:t xml:space="preserve">east is a pair of side-by-side dwellings </w:t>
      </w:r>
      <w:r w:rsidR="00267065">
        <w:t xml:space="preserve">at No. 10 Armstrong Street </w:t>
      </w:r>
      <w:r w:rsidR="0031628D">
        <w:t>approved by another division of the Tribunal in 2012</w:t>
      </w:r>
      <w:r w:rsidR="00F3239C">
        <w:t xml:space="preserve">.  </w:t>
      </w:r>
    </w:p>
    <w:p w:rsidR="007D5E28" w:rsidRDefault="00B72D8B" w:rsidP="00B72D8B">
      <w:pPr>
        <w:pStyle w:val="Para1"/>
        <w:numPr>
          <w:ilvl w:val="0"/>
          <w:numId w:val="0"/>
        </w:numPr>
        <w:tabs>
          <w:tab w:val="center" w:pos="4536"/>
          <w:tab w:val="right" w:pos="8505"/>
        </w:tabs>
        <w:spacing w:before="240" w:after="240"/>
        <w:ind w:left="567"/>
      </w:pPr>
      <w:r>
        <w:rPr>
          <w:noProof/>
        </w:rPr>
        <w:tab/>
      </w:r>
      <w:r w:rsidR="0076771C">
        <w:rPr>
          <w:noProof/>
          <w:lang w:eastAsia="en-AU"/>
        </w:rPr>
        <mc:AlternateContent>
          <mc:Choice Requires="wps">
            <w:drawing>
              <wp:anchor distT="0" distB="0" distL="114300" distR="114300" simplePos="0" relativeHeight="251650048" behindDoc="1" locked="1" layoutInCell="1" allowOverlap="1">
                <wp:simplePos x="0" y="0"/>
                <wp:positionH relativeFrom="page">
                  <wp:posOffset>450850</wp:posOffset>
                </wp:positionH>
                <wp:positionV relativeFrom="page">
                  <wp:posOffset>3637915</wp:posOffset>
                </wp:positionV>
                <wp:extent cx="1365250" cy="4826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482600"/>
                        </a:xfrm>
                        <a:prstGeom prst="wedgeEllipseCallout">
                          <a:avLst>
                            <a:gd name="adj1" fmla="val 179486"/>
                            <a:gd name="adj2" fmla="val 42894"/>
                          </a:avLst>
                        </a:prstGeom>
                        <a:noFill/>
                        <a:ln w="9525">
                          <a:solidFill>
                            <a:srgbClr val="FF6699"/>
                          </a:solidFill>
                          <a:miter lim="800000"/>
                          <a:headEnd/>
                          <a:tailEnd/>
                        </a:ln>
                        <a:extLst>
                          <a:ext uri="{909E8E84-426E-40DD-AFC4-6F175D3DCCD1}">
                            <a14:hiddenFill xmlns:a14="http://schemas.microsoft.com/office/drawing/2010/main">
                              <a:solidFill>
                                <a:srgbClr val="FFFFFF"/>
                              </a:solidFill>
                            </a14:hiddenFill>
                          </a:ext>
                        </a:extLst>
                      </wps:spPr>
                      <wps:txbx>
                        <w:txbxContent>
                          <w:p w:rsidR="00B72D8B" w:rsidRPr="00B72D8B" w:rsidRDefault="00B72D8B">
                            <w:pPr>
                              <w:rPr>
                                <w:color w:val="FF0000"/>
                                <w:sz w:val="22"/>
                                <w:szCs w:val="22"/>
                                <w:lang w:val="en-US"/>
                              </w:rPr>
                            </w:pPr>
                            <w:r w:rsidRPr="00B72D8B">
                              <w:rPr>
                                <w:color w:val="FF0000"/>
                                <w:sz w:val="22"/>
                                <w:szCs w:val="22"/>
                                <w:lang w:val="en-US"/>
                              </w:rPr>
                              <w:t>Subject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35.5pt;margin-top:286.45pt;width:107.5pt;height: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1+rAIAAGcFAAAOAAAAZHJzL2Uyb0RvYy54bWysVF1v0zAUfUfiP1h+7/KxNGuipdOUtAhp&#10;wKTBD3BjpzE4drDdpmPiv3PtpKVlLwiRh8SOr889537d3h06gfZMG65kgaOrECMma0W53Bb4y+f1&#10;bIGRsURSIpRkBX5mBt8t3765HfqcxapVgjKNAESafOgL3Frb50Fg6pZ1xFypnkk4bJTuiIWt3gZU&#10;kwHQOxHEYZgGg9K016pmxsDfajzES4/fNKy2n5rGMItEgYGb9W/t3xv3Dpa3JN9q0re8nmiQf2DR&#10;ES7B6QmqIpagneavoDpea2VUY69q1QWqaXjNvAZQE4V/qHlqSc+8FgiO6U9hMv8Ptv64f9SI0wJf&#10;YyRJBym631nlPaPYhWfoTQ5WT/2jdgJN/6DqbwZJVbZEbtm91mpoGaFAKnL2wcUFtzFwFW2GD4oC&#10;OgF0H6lDozsHCDFAB5+Q51NC2MGiGn5G1+k8nkPeajhLFnEa+owFJD/e7rWx75jqkFsUeGB0y1ZC&#10;8N6wkgihdtY7I/sHY31+6KSS0K8RRk0nIN17IlB0kyWLdKqHM6P43CiJF1niRZJ8ggQuRw4OX6o1&#10;F8JXlZBoKHAGAjwFowSn7tBHUW83pdAIPBd4vU7TLJtgL8w6bqE7BO8KvAjdM/Jz4V5J6r1YwsW4&#10;BiZCOnCI3qTWxdFX4UsWZqvFapHMkjhdzZKwqmb36zKZpevoZl5dV2VZRT8dzyjJW04pk47qsSOi&#10;5O8qburNsZZPPXEhyVwqX8PzWnlwSQOKyqs6fr06X2eutMYStYfNYarWjaLPUHFajd0O0wkWrdI/&#10;MBqg0wtsvu+IZhiJ9xKqNouSxI0Gv0nmNzFs9PnJ5vyEyBqgCmwxGpelHcfJrtd824KnyKdbKtdH&#10;DbfHlhhZTf0B3ezFTJPHjYvzvbf6PR+XvwAAAP//AwBQSwMEFAAGAAgAAAAhAA1OVJ7jAAAACgEA&#10;AA8AAABkcnMvZG93bnJldi54bWxMj8FOwzAQRO9I/IO1SFwQtRtBmqRxKoTEAQmQaIPU4yZekkBs&#10;R7bbBr4ec4Lj7Ixm35SbWY/sSM4P1khYLgQwMq1Vg+kk1LuH6wyYD2gUjtaQhC/ysKnOz0oslD2Z&#10;VzpuQ8diifEFSuhDmArOfduTRr+wE5novVunMUTpOq4cnmK5HnkiRMo1DiZ+6HGi+57az+1BS8if&#10;3p4n8bi7qr8/9k33EmqHrZDy8mK+WwMLNIe/MPziR3SoIlNjD0Z5NkpYLeOUIOF2leTAYiDJ0nhp&#10;JKQ3WQ68Kvn/CdUPAAAA//8DAFBLAQItABQABgAIAAAAIQC2gziS/gAAAOEBAAATAAAAAAAAAAAA&#10;AAAAAAAAAABbQ29udGVudF9UeXBlc10ueG1sUEsBAi0AFAAGAAgAAAAhADj9If/WAAAAlAEAAAsA&#10;AAAAAAAAAAAAAAAALwEAAF9yZWxzLy5yZWxzUEsBAi0AFAAGAAgAAAAhAG7OrX6sAgAAZwUAAA4A&#10;AAAAAAAAAAAAAAAALgIAAGRycy9lMm9Eb2MueG1sUEsBAi0AFAAGAAgAAAAhAA1OVJ7jAAAACgEA&#10;AA8AAAAAAAAAAAAAAAAABgUAAGRycy9kb3ducmV2LnhtbFBLBQYAAAAABAAEAPMAAAAWBgAAAAA=&#10;" adj="49569,20065" filled="f" strokecolor="#f69">
                <v:textbox>
                  <w:txbxContent>
                    <w:p w:rsidR="00B72D8B" w:rsidRPr="00B72D8B" w:rsidRDefault="00B72D8B">
                      <w:pPr>
                        <w:rPr>
                          <w:color w:val="FF0000"/>
                          <w:sz w:val="22"/>
                          <w:szCs w:val="22"/>
                          <w:lang w:val="en-US"/>
                        </w:rPr>
                      </w:pPr>
                      <w:r w:rsidRPr="00B72D8B">
                        <w:rPr>
                          <w:color w:val="FF0000"/>
                          <w:sz w:val="22"/>
                          <w:szCs w:val="22"/>
                          <w:lang w:val="en-US"/>
                        </w:rPr>
                        <w:t>Subject Land</w:t>
                      </w:r>
                    </w:p>
                  </w:txbxContent>
                </v:textbox>
                <w10:wrap anchorx="page" anchory="page"/>
                <w10:anchorlock/>
              </v:shape>
            </w:pict>
          </mc:Fallback>
        </mc:AlternateContent>
      </w:r>
      <w:r w:rsidR="0076771C">
        <w:rPr>
          <w:noProof/>
          <w:lang w:eastAsia="en-AU"/>
        </w:rPr>
        <w:drawing>
          <wp:inline distT="0" distB="0" distL="0" distR="0">
            <wp:extent cx="4562475" cy="3324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3324225"/>
                    </a:xfrm>
                    <a:prstGeom prst="rect">
                      <a:avLst/>
                    </a:prstGeom>
                    <a:noFill/>
                    <a:ln>
                      <a:noFill/>
                    </a:ln>
                  </pic:spPr>
                </pic:pic>
              </a:graphicData>
            </a:graphic>
          </wp:inline>
        </w:drawing>
      </w:r>
      <w:r>
        <w:rPr>
          <w:noProof/>
        </w:rPr>
        <w:tab/>
      </w:r>
    </w:p>
    <w:p w:rsidR="00151A3B" w:rsidRDefault="00151A3B" w:rsidP="00A239A2">
      <w:pPr>
        <w:pStyle w:val="Para1"/>
        <w:spacing w:before="100" w:after="80"/>
        <w:ind w:right="-135"/>
      </w:pPr>
      <w:r>
        <w:t>The Tribunal’s decision in 2012 relating to the land at No. 10 Armstrong Street contained a description of the area that the parties rely upon as still being relevant today:</w:t>
      </w:r>
      <w:r w:rsidR="00F74E15">
        <w:rPr>
          <w:rStyle w:val="FootnoteReference"/>
        </w:rPr>
        <w:footnoteReference w:id="3"/>
      </w:r>
    </w:p>
    <w:p w:rsidR="00151A3B" w:rsidRPr="00E57B94" w:rsidRDefault="00F74E15" w:rsidP="00E57B94">
      <w:pPr>
        <w:pStyle w:val="Quote1"/>
      </w:pPr>
      <w:r w:rsidRPr="00E57B94">
        <w:t xml:space="preserve">Armstrong Street is a pleasant residential street comprising a mix of one and two storey dwellings. The prevailing built form includes a wide mix of architectural styles, materials and colours. The house on the review site and its immediate neighbour are older and modest in scale, site coverage, design and materials. The street includes newer dwellings that have a more robust and imposing height and scale. They are two storeys, with sheer walls in both their front façades and the side elevations. Some dwellings on the north side of both High Street Road and Armstrong Street are particularly imposing as they sit high and proud above the street due to the slope of their land. The neighbourhood character comprises dwellings that are robust, proud, and some could be described as imposing. </w:t>
      </w:r>
      <w:r w:rsidR="003524E7" w:rsidRPr="00E57B94">
        <w:t>…</w:t>
      </w:r>
      <w:r w:rsidRPr="00E57B94">
        <w:t>.</w:t>
      </w:r>
    </w:p>
    <w:p w:rsidR="00CE75EB" w:rsidRDefault="003524E7" w:rsidP="00A239A2">
      <w:pPr>
        <w:pStyle w:val="Para1"/>
        <w:spacing w:before="100" w:after="80"/>
        <w:ind w:right="-135"/>
      </w:pPr>
      <w:r>
        <w:t>Key character influences are the topography</w:t>
      </w:r>
      <w:r w:rsidR="00996145">
        <w:t xml:space="preserve"> (with dwellings </w:t>
      </w:r>
      <w:r w:rsidR="00EA4C37">
        <w:t xml:space="preserve">variously </w:t>
      </w:r>
      <w:r w:rsidR="00996145">
        <w:t>responding to the slope)</w:t>
      </w:r>
      <w:r>
        <w:t xml:space="preserve">, </w:t>
      </w:r>
      <w:r w:rsidR="0094421F">
        <w:t xml:space="preserve">the </w:t>
      </w:r>
      <w:r>
        <w:t xml:space="preserve">contribution of street trees and front gardens to the landscape, and </w:t>
      </w:r>
      <w:r w:rsidR="0094421F">
        <w:t xml:space="preserve">the </w:t>
      </w:r>
      <w:r>
        <w:t>mix of two storey housing</w:t>
      </w:r>
      <w:r w:rsidR="0082595C">
        <w:t xml:space="preserve"> styles</w:t>
      </w:r>
      <w:r>
        <w:t>.</w:t>
      </w:r>
      <w:r w:rsidR="00CE75EB">
        <w:t xml:space="preserve">  </w:t>
      </w:r>
    </w:p>
    <w:p w:rsidR="003524E7" w:rsidRDefault="00CE75EB" w:rsidP="00271C4B">
      <w:pPr>
        <w:pStyle w:val="Para1"/>
        <w:spacing w:before="100" w:after="80"/>
        <w:ind w:right="-135"/>
      </w:pPr>
      <w:r>
        <w:br w:type="page"/>
      </w:r>
      <w:r w:rsidR="0076771C">
        <w:rPr>
          <w:noProof/>
          <w:lang w:eastAsia="en-AU"/>
        </w:rPr>
        <w:lastRenderedPageBreak/>
        <w:drawing>
          <wp:anchor distT="0" distB="0" distL="114300" distR="114300" simplePos="0" relativeHeight="251655168"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4" name="VCAT Seal5"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5"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t>I agree with comments made by the Tribunal that unifying features of this neighbourhood are the consistent front setbacks and established front gardens.</w:t>
      </w:r>
      <w:r>
        <w:rPr>
          <w:rStyle w:val="FootnoteReference"/>
        </w:rPr>
        <w:footnoteReference w:id="4"/>
      </w:r>
      <w:r w:rsidR="0082637D">
        <w:t xml:space="preserve">  </w:t>
      </w:r>
      <w:r w:rsidR="00E57B94">
        <w:t xml:space="preserve">The Tribunal also commented on </w:t>
      </w:r>
      <w:r w:rsidR="00EE48B3">
        <w:t>the character of the area with respect to garaging</w:t>
      </w:r>
      <w:r w:rsidR="00E57B94">
        <w:t>:</w:t>
      </w:r>
      <w:r w:rsidR="00E57B94">
        <w:rPr>
          <w:rStyle w:val="FootnoteReference"/>
        </w:rPr>
        <w:footnoteReference w:id="5"/>
      </w:r>
    </w:p>
    <w:p w:rsidR="00E57B94" w:rsidRDefault="00E57B94" w:rsidP="00E57B94">
      <w:pPr>
        <w:pStyle w:val="Quote1"/>
      </w:pPr>
      <w:r>
        <w:t>The responsible authority submitted that double width garages would be inconsistent with the character of the area. In my view, double width garages are a significant part of the neighbourhood’s character. Most dwellings in this section of High Street Road, St Johns Wood Road, Armstrong Street and The Close have very prominent double garage doors, which are very visible from the street. In some dwellings, two single garage doors in the same facade have the visual effect of a double width door. Many garage doors are set back only a short distance from the street, and even those located towards the side or rear of the dwellings are prominent when viewed from the street.</w:t>
      </w:r>
    </w:p>
    <w:p w:rsidR="00EE48B3" w:rsidRDefault="00EE48B3" w:rsidP="00A239A2">
      <w:pPr>
        <w:pStyle w:val="Para1"/>
        <w:spacing w:before="100" w:after="80"/>
        <w:ind w:right="-135"/>
      </w:pPr>
      <w:r>
        <w:t xml:space="preserve">I agree with this observation </w:t>
      </w:r>
      <w:r w:rsidR="0082595C">
        <w:t>with respect to</w:t>
      </w:r>
      <w:r>
        <w:t xml:space="preserve"> garages associated with single dwellings.  </w:t>
      </w:r>
      <w:r w:rsidR="00885F86">
        <w:t xml:space="preserve">In the wider area there are some dual occupancy developments in a tandem format </w:t>
      </w:r>
      <w:r w:rsidR="00316439">
        <w:t xml:space="preserve">while the </w:t>
      </w:r>
      <w:r w:rsidR="00475F0C">
        <w:t xml:space="preserve">now constructed development </w:t>
      </w:r>
      <w:r w:rsidR="00316439">
        <w:t>at No. 10 Armstrong Street</w:t>
      </w:r>
      <w:r w:rsidR="00475F0C">
        <w:t xml:space="preserve"> is</w:t>
      </w:r>
      <w:r w:rsidR="00316439">
        <w:t xml:space="preserve"> a pair </w:t>
      </w:r>
      <w:r w:rsidR="009C22BF">
        <w:t xml:space="preserve">of </w:t>
      </w:r>
      <w:r w:rsidR="00316439">
        <w:t>side-by-side dwellings with two double garages</w:t>
      </w:r>
      <w:r w:rsidR="0094421F">
        <w:t xml:space="preserve"> presented to the street</w:t>
      </w:r>
      <w:r w:rsidR="00316439">
        <w:t>.</w:t>
      </w:r>
      <w:r w:rsidR="00885F86">
        <w:t xml:space="preserve"> </w:t>
      </w:r>
    </w:p>
    <w:p w:rsidR="008C5528" w:rsidRDefault="008C5528" w:rsidP="00A239A2">
      <w:pPr>
        <w:pStyle w:val="Para1"/>
        <w:spacing w:before="100" w:after="80"/>
        <w:ind w:right="-135"/>
      </w:pPr>
      <w:r>
        <w:t xml:space="preserve">I was informed at the hearing of a permit issued for the land at </w:t>
      </w:r>
      <w:r w:rsidR="00A25950">
        <w:t xml:space="preserve">No. 9 Armstrong Street by the Council and </w:t>
      </w:r>
      <w:r w:rsidR="0082595C">
        <w:t>the Council’s</w:t>
      </w:r>
      <w:r w:rsidR="00A25950">
        <w:t xml:space="preserve"> refusal </w:t>
      </w:r>
      <w:r w:rsidR="0082595C">
        <w:t xml:space="preserve">of a permit </w:t>
      </w:r>
      <w:r w:rsidR="00A25950">
        <w:t xml:space="preserve">relating to No. 5 Armstrong Street that </w:t>
      </w:r>
      <w:r w:rsidR="0082595C">
        <w:t>is being</w:t>
      </w:r>
      <w:r w:rsidR="00A25950">
        <w:t xml:space="preserve"> brought to the Tribunal. </w:t>
      </w:r>
    </w:p>
    <w:p w:rsidR="001938D1" w:rsidRDefault="001938D1" w:rsidP="001938D1">
      <w:pPr>
        <w:pStyle w:val="Heading3"/>
      </w:pPr>
      <w:r>
        <w:t>Planning context</w:t>
      </w:r>
    </w:p>
    <w:p w:rsidR="00441A34" w:rsidRDefault="00441A34" w:rsidP="00441A34">
      <w:pPr>
        <w:pStyle w:val="Heading4"/>
      </w:pPr>
      <w:r>
        <w:t>Existing scheme provisions and policy</w:t>
      </w:r>
    </w:p>
    <w:p w:rsidR="00475F0C" w:rsidRDefault="00702C59" w:rsidP="00271C4B">
      <w:pPr>
        <w:pStyle w:val="Para1"/>
        <w:spacing w:before="80"/>
        <w:ind w:right="-136"/>
      </w:pPr>
      <w:r>
        <w:t xml:space="preserve">Broadly, there are </w:t>
      </w:r>
      <w:r w:rsidR="00B70817">
        <w:t>two key strategic directions</w:t>
      </w:r>
      <w:r>
        <w:t xml:space="preserve"> relating t</w:t>
      </w:r>
      <w:r w:rsidR="00B70817">
        <w:t xml:space="preserve">o the development </w:t>
      </w:r>
      <w:r>
        <w:t>of land.</w:t>
      </w:r>
      <w:r w:rsidR="00EE6270">
        <w:rPr>
          <w:rStyle w:val="FootnoteReference"/>
        </w:rPr>
        <w:footnoteReference w:id="6"/>
      </w:r>
      <w:r>
        <w:t xml:space="preserve">  One relates to </w:t>
      </w:r>
      <w:r w:rsidR="00B70817">
        <w:t>housing</w:t>
      </w:r>
      <w:r w:rsidR="00031C33">
        <w:t xml:space="preserve"> growth, diversification and affordability.</w:t>
      </w:r>
      <w:r>
        <w:t xml:space="preserve">  The other relates to respect for neighbourhood character and, particularly, maintenance and enhancement of the </w:t>
      </w:r>
      <w:r w:rsidR="0096168C">
        <w:t>“</w:t>
      </w:r>
      <w:r>
        <w:t>Garden City</w:t>
      </w:r>
      <w:r w:rsidR="0096168C">
        <w:t>”</w:t>
      </w:r>
      <w:r>
        <w:t xml:space="preserve"> character.  </w:t>
      </w:r>
      <w:r w:rsidR="00475F0C">
        <w:t>I refer to these next.</w:t>
      </w:r>
    </w:p>
    <w:p w:rsidR="00C4350E" w:rsidRDefault="00702C59" w:rsidP="00271C4B">
      <w:pPr>
        <w:pStyle w:val="Para1"/>
        <w:spacing w:before="80"/>
        <w:ind w:right="-136"/>
      </w:pPr>
      <w:r>
        <w:t>The</w:t>
      </w:r>
      <w:r w:rsidR="00075875">
        <w:t xml:space="preserve"> subject land is</w:t>
      </w:r>
      <w:r w:rsidR="00475F0C">
        <w:t xml:space="preserve"> w</w:t>
      </w:r>
      <w:r w:rsidR="00C4350E">
        <w:t xml:space="preserve">ithin the </w:t>
      </w:r>
      <w:r w:rsidR="0011620B">
        <w:t>GRZ</w:t>
      </w:r>
      <w:r w:rsidR="00E74ABB">
        <w:t xml:space="preserve"> Schedule </w:t>
      </w:r>
      <w:r w:rsidR="00B17D6C">
        <w:t>2</w:t>
      </w:r>
      <w:r w:rsidR="00E62C6E">
        <w:t xml:space="preserve"> Monash Residential Areas</w:t>
      </w:r>
      <w:r w:rsidR="00B337D0">
        <w:t>.</w:t>
      </w:r>
      <w:r w:rsidR="00733A7E">
        <w:t xml:space="preserve">  </w:t>
      </w:r>
      <w:r w:rsidR="0011620B">
        <w:t>The</w:t>
      </w:r>
      <w:r w:rsidR="00733A7E">
        <w:t xml:space="preserve"> purpose </w:t>
      </w:r>
      <w:r w:rsidR="0011620B">
        <w:t xml:space="preserve">of the GRZ </w:t>
      </w:r>
      <w:r w:rsidR="003C7DBB">
        <w:t>includes:</w:t>
      </w:r>
    </w:p>
    <w:p w:rsidR="00981BBB" w:rsidRDefault="00981BBB" w:rsidP="00981BBB">
      <w:pPr>
        <w:pStyle w:val="Quote3"/>
      </w:pPr>
      <w:r>
        <w:t xml:space="preserve">To encourage development that respects the neighbourhood character of the area. </w:t>
      </w:r>
    </w:p>
    <w:p w:rsidR="00981BBB" w:rsidRDefault="00981BBB" w:rsidP="00981BBB">
      <w:pPr>
        <w:pStyle w:val="Quote3"/>
      </w:pPr>
      <w:r>
        <w:t>To encourage a diversity of housing types and housing growth particularly in locations offering good access to services and transport.</w:t>
      </w:r>
    </w:p>
    <w:p w:rsidR="003B2348" w:rsidRDefault="003B2348" w:rsidP="00475F0C">
      <w:pPr>
        <w:pStyle w:val="Para1"/>
      </w:pPr>
      <w:r>
        <w:t xml:space="preserve">Key considerations in assessing the </w:t>
      </w:r>
      <w:r w:rsidR="0096168C">
        <w:t>G</w:t>
      </w:r>
      <w:r>
        <w:t xml:space="preserve">arden </w:t>
      </w:r>
      <w:r w:rsidR="0096168C">
        <w:t>C</w:t>
      </w:r>
      <w:r>
        <w:t xml:space="preserve">ity character are set out in clause 21.01-3.  </w:t>
      </w:r>
      <w:r w:rsidR="002D08E4">
        <w:t xml:space="preserve">This garden character is regarded as a </w:t>
      </w:r>
      <w:r w:rsidR="0094421F">
        <w:t>“</w:t>
      </w:r>
      <w:r w:rsidR="002D08E4">
        <w:t>core value</w:t>
      </w:r>
      <w:r w:rsidR="0094421F">
        <w:t>”</w:t>
      </w:r>
      <w:r w:rsidR="002D08E4">
        <w:t xml:space="preserve">.  </w:t>
      </w:r>
      <w:r>
        <w:t xml:space="preserve">I have considered </w:t>
      </w:r>
      <w:r w:rsidR="0066152E">
        <w:t>the matters in clause 21.01</w:t>
      </w:r>
      <w:r>
        <w:t>.</w:t>
      </w:r>
      <w:r w:rsidR="002D08E4">
        <w:t xml:space="preserve">  </w:t>
      </w:r>
    </w:p>
    <w:p w:rsidR="00A325BD" w:rsidRDefault="00475F0C" w:rsidP="00475F0C">
      <w:pPr>
        <w:pStyle w:val="Para1"/>
      </w:pPr>
      <w:r>
        <w:br w:type="page"/>
      </w:r>
      <w:r w:rsidR="0076771C">
        <w:rPr>
          <w:noProof/>
          <w:lang w:eastAsia="en-AU"/>
        </w:rPr>
        <w:drawing>
          <wp:anchor distT="0" distB="0" distL="114300" distR="114300" simplePos="0" relativeHeight="251656192"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5" name="VCAT Seal6"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6"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AA6236">
        <w:t>N</w:t>
      </w:r>
      <w:r w:rsidR="00A325BD">
        <w:t xml:space="preserve">eighbourhood character </w:t>
      </w:r>
      <w:r w:rsidR="00AA6236">
        <w:t xml:space="preserve">objectives </w:t>
      </w:r>
      <w:r w:rsidR="00A325BD">
        <w:t xml:space="preserve">in </w:t>
      </w:r>
      <w:r w:rsidR="009C22BF">
        <w:t>c</w:t>
      </w:r>
      <w:r w:rsidR="00A325BD">
        <w:t>lause 22.01 include:</w:t>
      </w:r>
    </w:p>
    <w:p w:rsidR="00A325BD" w:rsidRDefault="00A325BD" w:rsidP="00A325BD">
      <w:pPr>
        <w:pStyle w:val="Quote3"/>
      </w:pPr>
      <w:r>
        <w:t xml:space="preserve">To build upon the important contribution that landscaping makes to the Garden City Character of Monash. </w:t>
      </w:r>
    </w:p>
    <w:p w:rsidR="00A325BD" w:rsidRDefault="00A325BD" w:rsidP="00A325BD">
      <w:pPr>
        <w:pStyle w:val="Quote3"/>
      </w:pPr>
      <w:r>
        <w:t>To encourage new development to achieve architectural and urban design outcomes that positively contribute to neighbourhood character having particular regard to the desired future character statement for the applicable residential Character Type.</w:t>
      </w:r>
    </w:p>
    <w:p w:rsidR="00284B39" w:rsidRDefault="00284B39" w:rsidP="00A325BD">
      <w:pPr>
        <w:pStyle w:val="Quote3"/>
      </w:pPr>
      <w:r>
        <w:t>To encourage the provision of a variety of housing types to accommodate future housing needs and preferences that are energy efficient and sustainable.</w:t>
      </w:r>
    </w:p>
    <w:p w:rsidR="00702C59" w:rsidRDefault="00702C59" w:rsidP="00475F0C">
      <w:pPr>
        <w:pStyle w:val="Para1"/>
        <w:rPr>
          <w:lang w:eastAsia="en-AU"/>
        </w:rPr>
      </w:pPr>
      <w:r>
        <w:t>General character policies include:</w:t>
      </w:r>
    </w:p>
    <w:p w:rsidR="00702C59" w:rsidRDefault="00702C59" w:rsidP="00702C59">
      <w:pPr>
        <w:pStyle w:val="Quote3"/>
        <w:rPr>
          <w:lang w:eastAsia="en-AU"/>
        </w:rPr>
      </w:pPr>
      <w:r>
        <w:t xml:space="preserve">Development complements the current character statement and contributory elements and satisfies the intent of the desired future character statement for the applicable residential Character Type identified in Clause 22.01-4. </w:t>
      </w:r>
    </w:p>
    <w:p w:rsidR="00702C59" w:rsidRDefault="00702C59" w:rsidP="00702C59">
      <w:pPr>
        <w:pStyle w:val="Quote3"/>
        <w:rPr>
          <w:lang w:eastAsia="en-AU"/>
        </w:rPr>
      </w:pPr>
      <w:r>
        <w:t xml:space="preserve">The quality and style of surrounding development be respected, including the maintenance of consistent setbacks in areas where incremental change is expected. </w:t>
      </w:r>
    </w:p>
    <w:p w:rsidR="00B00533" w:rsidRDefault="00702C59" w:rsidP="00702C59">
      <w:pPr>
        <w:pStyle w:val="Quote3"/>
        <w:rPr>
          <w:lang w:eastAsia="en-AU"/>
        </w:rPr>
      </w:pPr>
      <w:r>
        <w:t xml:space="preserve">The treed character of areas be complemented and preserved. </w:t>
      </w:r>
    </w:p>
    <w:p w:rsidR="00702C59" w:rsidRDefault="00702C59" w:rsidP="00702C59">
      <w:pPr>
        <w:pStyle w:val="Quote3"/>
        <w:rPr>
          <w:lang w:eastAsia="en-AU"/>
        </w:rPr>
      </w:pPr>
      <w:r>
        <w:t>The Garden City and streetscape character of the neighbourhood be maintained and enhanced.</w:t>
      </w:r>
    </w:p>
    <w:p w:rsidR="00284B39" w:rsidRDefault="00284B39" w:rsidP="00702C59">
      <w:pPr>
        <w:pStyle w:val="Quote3"/>
        <w:rPr>
          <w:lang w:eastAsia="en-AU"/>
        </w:rPr>
      </w:pPr>
      <w:r>
        <w:rPr>
          <w:lang w:eastAsia="en-AU"/>
        </w:rPr>
        <w:t>The impact of bulk and scale of development be minimised, where possible.</w:t>
      </w:r>
    </w:p>
    <w:p w:rsidR="00284B39" w:rsidRDefault="00D7785E" w:rsidP="00475F0C">
      <w:pPr>
        <w:pStyle w:val="Para1"/>
        <w:rPr>
          <w:lang w:eastAsia="en-AU"/>
        </w:rPr>
      </w:pPr>
      <w:r>
        <w:rPr>
          <w:lang w:eastAsia="en-AU"/>
        </w:rPr>
        <w:t>O</w:t>
      </w:r>
      <w:r w:rsidR="00284B39">
        <w:rPr>
          <w:lang w:eastAsia="en-AU"/>
        </w:rPr>
        <w:t>ther policies in clause 22.01-3 relat</w:t>
      </w:r>
      <w:r>
        <w:rPr>
          <w:lang w:eastAsia="en-AU"/>
        </w:rPr>
        <w:t>e</w:t>
      </w:r>
      <w:r w:rsidR="00284B39">
        <w:rPr>
          <w:lang w:eastAsia="en-AU"/>
        </w:rPr>
        <w:t xml:space="preserve"> to matters such as vehicle crossings and the location of garages and car spaces, built form and scale of development, private open space, landscaping, car parking and additional decision guidelines.  I have considered </w:t>
      </w:r>
      <w:r>
        <w:rPr>
          <w:lang w:eastAsia="en-AU"/>
        </w:rPr>
        <w:t>them</w:t>
      </w:r>
      <w:r w:rsidR="00284B39">
        <w:rPr>
          <w:lang w:eastAsia="en-AU"/>
        </w:rPr>
        <w:t xml:space="preserve"> but do not recite </w:t>
      </w:r>
      <w:r w:rsidR="0082637D">
        <w:rPr>
          <w:lang w:eastAsia="en-AU"/>
        </w:rPr>
        <w:t xml:space="preserve">all of </w:t>
      </w:r>
      <w:r w:rsidR="00284B39">
        <w:rPr>
          <w:lang w:eastAsia="en-AU"/>
        </w:rPr>
        <w:t>them.</w:t>
      </w:r>
      <w:r w:rsidR="0082637D">
        <w:rPr>
          <w:lang w:eastAsia="en-AU"/>
        </w:rPr>
        <w:t xml:space="preserve">  Some </w:t>
      </w:r>
      <w:r w:rsidR="00996D9C">
        <w:rPr>
          <w:lang w:eastAsia="en-AU"/>
        </w:rPr>
        <w:t xml:space="preserve">that are particularly relevant </w:t>
      </w:r>
      <w:r w:rsidR="0011620B">
        <w:rPr>
          <w:lang w:eastAsia="en-AU"/>
        </w:rPr>
        <w:t xml:space="preserve">to the issues in this case </w:t>
      </w:r>
      <w:r>
        <w:rPr>
          <w:lang w:eastAsia="en-AU"/>
        </w:rPr>
        <w:t>are</w:t>
      </w:r>
      <w:r w:rsidR="0082637D">
        <w:rPr>
          <w:lang w:eastAsia="en-AU"/>
        </w:rPr>
        <w:t>:</w:t>
      </w:r>
    </w:p>
    <w:p w:rsidR="0082637D" w:rsidRDefault="0082637D" w:rsidP="0082637D">
      <w:pPr>
        <w:pStyle w:val="Quote1"/>
      </w:pPr>
      <w:r>
        <w:t>Building setbacks</w:t>
      </w:r>
    </w:p>
    <w:p w:rsidR="0082637D" w:rsidRDefault="0082637D" w:rsidP="0082637D">
      <w:pPr>
        <w:pStyle w:val="Quote3"/>
      </w:pPr>
      <w:r>
        <w:t xml:space="preserve">Building design reflect the spacing and rhythm of existing streetscapes. </w:t>
      </w:r>
    </w:p>
    <w:p w:rsidR="0082637D" w:rsidRDefault="0082637D" w:rsidP="0082637D">
      <w:pPr>
        <w:pStyle w:val="Quote3"/>
      </w:pPr>
      <w:r>
        <w:t xml:space="preserve">The Garden City Character be maintained by providing front garden space in which upper canopy trees can develop. </w:t>
      </w:r>
    </w:p>
    <w:p w:rsidR="0082637D" w:rsidRDefault="0082637D" w:rsidP="0082637D">
      <w:pPr>
        <w:pStyle w:val="Quote1"/>
      </w:pPr>
      <w:r>
        <w:t xml:space="preserve">Vehicle crossings and location of garages, car ports and car spaces </w:t>
      </w:r>
    </w:p>
    <w:p w:rsidR="0082637D" w:rsidRDefault="0082637D" w:rsidP="0082637D">
      <w:pPr>
        <w:pStyle w:val="Quote3"/>
      </w:pPr>
      <w:r>
        <w:t>The Garden City Character of residential areas be retained by discouraging car parking and accessways that have a significant impact on or cause fragmentation of the streetscape.</w:t>
      </w:r>
    </w:p>
    <w:p w:rsidR="0082637D" w:rsidRDefault="0082637D" w:rsidP="0082637D">
      <w:pPr>
        <w:pStyle w:val="Quote3"/>
      </w:pPr>
      <w:r>
        <w:t xml:space="preserve">The number of vehicle crossings be minimised to maintain existing kerb side parking and green spaces in both front setback areas and in naturestrips. </w:t>
      </w:r>
    </w:p>
    <w:p w:rsidR="0082637D" w:rsidRDefault="0082637D" w:rsidP="0082637D">
      <w:pPr>
        <w:pStyle w:val="Quote3"/>
      </w:pPr>
      <w:r>
        <w:t xml:space="preserve">Hardening of the streetscape through the provision of additional crossovers is discouraged. </w:t>
      </w:r>
    </w:p>
    <w:p w:rsidR="0082637D" w:rsidRDefault="00475F0C" w:rsidP="0082637D">
      <w:pPr>
        <w:pStyle w:val="Quote3"/>
      </w:pPr>
      <w:r>
        <w:br w:type="page"/>
      </w:r>
      <w:r w:rsidR="0076771C">
        <w:rPr>
          <w:noProof/>
          <w:lang w:eastAsia="en-AU"/>
        </w:rPr>
        <w:lastRenderedPageBreak/>
        <w:drawing>
          <wp:anchor distT="0" distB="0" distL="114300" distR="114300" simplePos="0" relativeHeight="251657216"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6" name="VCAT Seal7"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7"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82637D">
        <w:t xml:space="preserve">Landscaping in the front setback areas of properties is to be maintained by minimising the number of crossovers provided on larger multi unit sites and placing vehicle parking to the rear on sites accommodating small to medium multi developments. </w:t>
      </w:r>
    </w:p>
    <w:p w:rsidR="0082637D" w:rsidRDefault="0082637D" w:rsidP="0082637D">
      <w:pPr>
        <w:pStyle w:val="Quote3"/>
      </w:pPr>
      <w:r>
        <w:t xml:space="preserve">Garages, carports and associated visitor spaces be designed so that they do not dominate or visually disrupt the streetscape. </w:t>
      </w:r>
    </w:p>
    <w:p w:rsidR="00996D9C" w:rsidRDefault="00996D9C" w:rsidP="00996D9C">
      <w:pPr>
        <w:pStyle w:val="Quote1"/>
      </w:pPr>
      <w:r>
        <w:t xml:space="preserve">Built form and scale of development </w:t>
      </w:r>
    </w:p>
    <w:p w:rsidR="00996D9C" w:rsidRDefault="00996D9C" w:rsidP="00996D9C">
      <w:pPr>
        <w:pStyle w:val="Quote3"/>
      </w:pPr>
      <w:r>
        <w:t xml:space="preserve">Building spacings and setbacks off side boundaries maintain the spacing and rhythm of existing dwellings to respect the built form character of the streetscape. </w:t>
      </w:r>
    </w:p>
    <w:p w:rsidR="00996D9C" w:rsidRDefault="00996D9C" w:rsidP="00996D9C">
      <w:pPr>
        <w:pStyle w:val="Quote3"/>
      </w:pPr>
      <w:r>
        <w:t xml:space="preserve">Creative and quality design solutions be provided, particularly in relation to bulk of buildings having regard to boundary setbacks. </w:t>
      </w:r>
    </w:p>
    <w:p w:rsidR="00996D9C" w:rsidRDefault="00996D9C" w:rsidP="00996D9C">
      <w:pPr>
        <w:pStyle w:val="Quote1"/>
      </w:pPr>
      <w:r>
        <w:t xml:space="preserve">Landscaping </w:t>
      </w:r>
    </w:p>
    <w:p w:rsidR="00996D9C" w:rsidRDefault="00996D9C" w:rsidP="00996D9C">
      <w:pPr>
        <w:pStyle w:val="Quote3"/>
      </w:pPr>
      <w:r>
        <w:t xml:space="preserve">Planting of semi-mature canopy trees with spreading crowns be incorporated in open space areas, along boundaries adjacent to neighbouring open space and in front setback areas to reinforce the Garden City Character of the area. </w:t>
      </w:r>
    </w:p>
    <w:p w:rsidR="00996D9C" w:rsidRDefault="00996D9C" w:rsidP="00996D9C">
      <w:pPr>
        <w:pStyle w:val="Quote3"/>
      </w:pPr>
      <w:r>
        <w:t xml:space="preserve">Minimal pavement areas be provided within the front setback area to maximise landscaping to enhance the Garden City Character of the streetscape. </w:t>
      </w:r>
    </w:p>
    <w:p w:rsidR="00996D9C" w:rsidRDefault="00996D9C" w:rsidP="00271C4B">
      <w:pPr>
        <w:pStyle w:val="Quote3"/>
      </w:pPr>
      <w:r>
        <w:t>Landscaping be provided down both sides of driveways to reduce the visual impact of development.</w:t>
      </w:r>
    </w:p>
    <w:p w:rsidR="003B2348" w:rsidRDefault="00A325BD" w:rsidP="00475F0C">
      <w:pPr>
        <w:pStyle w:val="Para1"/>
        <w:rPr>
          <w:lang w:eastAsia="en-AU"/>
        </w:rPr>
      </w:pPr>
      <w:r>
        <w:t>The subject land is w</w:t>
      </w:r>
      <w:r w:rsidR="00981BBB">
        <w:t>ithin Character Area ‘</w:t>
      </w:r>
      <w:r w:rsidR="0044751B">
        <w:t>C</w:t>
      </w:r>
      <w:r w:rsidR="0005614E">
        <w:t xml:space="preserve">’ through </w:t>
      </w:r>
      <w:r w:rsidR="00782350">
        <w:t>c</w:t>
      </w:r>
      <w:r w:rsidR="0005614E">
        <w:t>lause</w:t>
      </w:r>
      <w:r w:rsidR="00907479">
        <w:t>s 21.04 and</w:t>
      </w:r>
      <w:r w:rsidR="00782350">
        <w:t xml:space="preserve"> 22.01 where </w:t>
      </w:r>
      <w:r w:rsidR="00A73801">
        <w:t>the</w:t>
      </w:r>
      <w:r w:rsidR="00782350">
        <w:t xml:space="preserve"> </w:t>
      </w:r>
      <w:r w:rsidR="0005614E">
        <w:t>Ga</w:t>
      </w:r>
      <w:r w:rsidR="00907479">
        <w:t xml:space="preserve">rden City character is </w:t>
      </w:r>
      <w:r w:rsidR="00782350">
        <w:t xml:space="preserve">being </w:t>
      </w:r>
      <w:r w:rsidR="00907479">
        <w:t>pursued.  G</w:t>
      </w:r>
      <w:r w:rsidR="0005614E">
        <w:t>eneral and Character Area policies are relevant</w:t>
      </w:r>
      <w:r w:rsidR="00907479">
        <w:rPr>
          <w:rStyle w:val="FootnoteReference"/>
        </w:rPr>
        <w:footnoteReference w:id="7"/>
      </w:r>
      <w:r w:rsidR="0005614E">
        <w:t xml:space="preserve"> and the desired future cha</w:t>
      </w:r>
      <w:r w:rsidR="00B67A2F">
        <w:t xml:space="preserve">racter is articulated. </w:t>
      </w:r>
      <w:r w:rsidR="00C54316">
        <w:t xml:space="preserve">  Decision guidelines at clause 22.01-4 have also been considered</w:t>
      </w:r>
      <w:r w:rsidR="001B59FD">
        <w:t xml:space="preserve"> in my assessment</w:t>
      </w:r>
      <w:r w:rsidR="00C54316">
        <w:t>.</w:t>
      </w:r>
    </w:p>
    <w:p w:rsidR="0005614E" w:rsidRDefault="00782350" w:rsidP="0096168C">
      <w:pPr>
        <w:pStyle w:val="Para1"/>
        <w:rPr>
          <w:lang w:eastAsia="en-AU"/>
        </w:rPr>
      </w:pPr>
      <w:r>
        <w:t xml:space="preserve">The following </w:t>
      </w:r>
      <w:r w:rsidR="00D006F9">
        <w:t>extracts</w:t>
      </w:r>
      <w:r>
        <w:t xml:space="preserve"> </w:t>
      </w:r>
      <w:r w:rsidR="0082637D">
        <w:t xml:space="preserve">from the desired future character statement </w:t>
      </w:r>
      <w:r>
        <w:t xml:space="preserve">are particularly relevant to the </w:t>
      </w:r>
      <w:r w:rsidR="00AF5EF8">
        <w:t>arguments and evidence presented in this case</w:t>
      </w:r>
      <w:r w:rsidR="0005614E">
        <w:t>:</w:t>
      </w:r>
    </w:p>
    <w:p w:rsidR="00E40497" w:rsidRDefault="00FB725F" w:rsidP="0044751B">
      <w:pPr>
        <w:pStyle w:val="Quote1"/>
        <w:ind w:left="1701"/>
      </w:pPr>
      <w:r>
        <w:t xml:space="preserve">The neighbourhood character of this area will develop within a pleasant leafy framework of well-planted front gardens and large canopy trees. </w:t>
      </w:r>
    </w:p>
    <w:p w:rsidR="00E40497" w:rsidRDefault="00FB725F" w:rsidP="0044751B">
      <w:pPr>
        <w:pStyle w:val="Quote1"/>
        <w:ind w:left="1701"/>
      </w:pPr>
      <w:r>
        <w:t>Architecture, including new buildings and extensions, will, in the majority of cases, be secondary in visual significance to the landscape of the Character Type from the street. However, in neighbourhoods that currently have a large proportion of two storey houses, the architecture will gradually become more dominant, although it will always be buffered from the street by a well planted front garden that will ensure the soft leafy nature of the street will be perpetuated.</w:t>
      </w:r>
    </w:p>
    <w:p w:rsidR="00475F0C" w:rsidRDefault="00FB725F" w:rsidP="0044751B">
      <w:pPr>
        <w:pStyle w:val="Quote1"/>
        <w:ind w:left="1701"/>
      </w:pPr>
      <w:r>
        <w:t xml:space="preserve">Setbacks will be generous and consistent within individual streets. </w:t>
      </w:r>
    </w:p>
    <w:p w:rsidR="00475F0C" w:rsidRDefault="00475F0C" w:rsidP="0044751B">
      <w:pPr>
        <w:pStyle w:val="Quote1"/>
        <w:ind w:left="1701"/>
      </w:pPr>
      <w:r>
        <w:br w:type="page"/>
      </w:r>
      <w:r w:rsidR="0076771C">
        <w:rPr>
          <w:noProof/>
          <w:lang w:eastAsia="en-AU"/>
        </w:rPr>
        <w:lastRenderedPageBreak/>
        <w:drawing>
          <wp:anchor distT="0" distB="0" distL="114300" distR="114300" simplePos="0" relativeHeight="251658240"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7" name="VCAT Seal8"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8"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FB725F">
        <w:t xml:space="preserve">Building heights will vary between neighbourhoods. Those neighbourhoods where the diverse topography and well developed mature tree canopy provide a framework within which redevelopment can occur will have a larger proportion of two storey houses. </w:t>
      </w:r>
      <w:r>
        <w:t>…</w:t>
      </w:r>
      <w:r w:rsidR="00FB725F">
        <w:t xml:space="preserve">. </w:t>
      </w:r>
    </w:p>
    <w:p w:rsidR="00475F0C" w:rsidRDefault="00FB725F" w:rsidP="0044751B">
      <w:pPr>
        <w:pStyle w:val="Quote1"/>
        <w:ind w:left="1701"/>
      </w:pPr>
      <w:r>
        <w:t xml:space="preserve">The built-form will be visually unified by well-planted front gardens that contain large trees and shrubs and street tree planting. </w:t>
      </w:r>
      <w:r w:rsidR="00475F0C">
        <w:t>…</w:t>
      </w:r>
    </w:p>
    <w:p w:rsidR="00475F0C" w:rsidRDefault="00FB725F" w:rsidP="0044751B">
      <w:pPr>
        <w:pStyle w:val="Quote1"/>
        <w:ind w:left="1701"/>
      </w:pPr>
      <w:r>
        <w:t>Streets which have a majority of gardens currently lacking fences will continue to do so. Walls and fences in other streets will be low to allow plants in the front garden to be visible from the street</w:t>
      </w:r>
      <w:r w:rsidR="00475F0C">
        <w:t>. …</w:t>
      </w:r>
      <w:r>
        <w:t xml:space="preserve"> </w:t>
      </w:r>
    </w:p>
    <w:p w:rsidR="00B70817" w:rsidRDefault="00FB725F" w:rsidP="0044751B">
      <w:pPr>
        <w:pStyle w:val="Quote1"/>
        <w:ind w:left="1701"/>
      </w:pPr>
      <w:r>
        <w:t>The soft quality of streets derived from the nature strips will be protected by ensuring that each lot frontage has only one single crossover.</w:t>
      </w:r>
      <w:r w:rsidR="00475F0C">
        <w:t xml:space="preserve"> …</w:t>
      </w:r>
    </w:p>
    <w:p w:rsidR="00B00533" w:rsidRDefault="003B18D9" w:rsidP="003B18D9">
      <w:pPr>
        <w:pStyle w:val="Para1"/>
      </w:pPr>
      <w:r>
        <w:t>Other relevant provisions</w:t>
      </w:r>
      <w:r w:rsidR="00BE3D06">
        <w:t xml:space="preserve"> and policies</w:t>
      </w:r>
      <w:r w:rsidR="0094421F">
        <w:rPr>
          <w:rStyle w:val="FootnoteReference"/>
        </w:rPr>
        <w:footnoteReference w:id="8"/>
      </w:r>
      <w:r>
        <w:t xml:space="preserve"> </w:t>
      </w:r>
      <w:r w:rsidR="00031C33">
        <w:t xml:space="preserve">are listed in the ‘Information’ section of these reasons and </w:t>
      </w:r>
      <w:r>
        <w:t>include</w:t>
      </w:r>
      <w:r w:rsidR="00B00533">
        <w:t>:</w:t>
      </w:r>
      <w:r>
        <w:t xml:space="preserve"> </w:t>
      </w:r>
    </w:p>
    <w:p w:rsidR="00B00533" w:rsidRDefault="00031C33" w:rsidP="00B00533">
      <w:pPr>
        <w:pStyle w:val="Para5"/>
      </w:pPr>
      <w:r>
        <w:t>Clause 55, including v</w:t>
      </w:r>
      <w:r w:rsidR="00DA36F9">
        <w:t xml:space="preserve">ariations to Standards B6, B28 and B32 </w:t>
      </w:r>
      <w:r>
        <w:t xml:space="preserve">that </w:t>
      </w:r>
      <w:r w:rsidR="00DA36F9">
        <w:t xml:space="preserve">apply through </w:t>
      </w:r>
      <w:r>
        <w:t xml:space="preserve">the </w:t>
      </w:r>
      <w:r w:rsidR="0011620B">
        <w:t>GRZ</w:t>
      </w:r>
      <w:r>
        <w:t xml:space="preserve"> Schedule 2</w:t>
      </w:r>
      <w:r w:rsidR="00DA36F9">
        <w:t>.</w:t>
      </w:r>
    </w:p>
    <w:p w:rsidR="003B18D9" w:rsidRDefault="003B18D9" w:rsidP="00B00533">
      <w:pPr>
        <w:pStyle w:val="Para5"/>
      </w:pPr>
      <w:r>
        <w:t xml:space="preserve">Clause </w:t>
      </w:r>
      <w:r w:rsidR="00981BBB">
        <w:t>52.06 relating to parking supply and design</w:t>
      </w:r>
      <w:r>
        <w:t>.</w:t>
      </w:r>
    </w:p>
    <w:p w:rsidR="0044751B" w:rsidRPr="00283FC4" w:rsidRDefault="0044751B" w:rsidP="0044751B">
      <w:pPr>
        <w:pStyle w:val="Para5"/>
      </w:pPr>
      <w:r w:rsidRPr="00283FC4">
        <w:t xml:space="preserve">Clause 22.05, a policy relating to tree conservation.  Among other policies, it </w:t>
      </w:r>
      <w:r w:rsidRPr="00283FC4">
        <w:rPr>
          <w:shd w:val="clear" w:color="auto" w:fill="FFFFFF"/>
        </w:rPr>
        <w:t>seeks to retain and to plant additional semi mature and mature canopy trees, particularly in the front setback areas.</w:t>
      </w:r>
    </w:p>
    <w:p w:rsidR="00106E3A" w:rsidRDefault="00A73801" w:rsidP="00106E3A">
      <w:pPr>
        <w:pStyle w:val="Para5"/>
      </w:pPr>
      <w:r>
        <w:t>Clause</w:t>
      </w:r>
      <w:r w:rsidR="003B18D9">
        <w:t xml:space="preserve"> 22.</w:t>
      </w:r>
      <w:r w:rsidR="00106E3A">
        <w:t>04</w:t>
      </w:r>
      <w:r w:rsidR="00BE3D06">
        <w:t>, a policy</w:t>
      </w:r>
      <w:r w:rsidR="003B18D9">
        <w:t xml:space="preserve"> relating to stormwater management</w:t>
      </w:r>
      <w:r w:rsidR="00106E3A">
        <w:t>.</w:t>
      </w:r>
    </w:p>
    <w:p w:rsidR="00031C33" w:rsidRDefault="00031C33" w:rsidP="00B00533">
      <w:pPr>
        <w:pStyle w:val="Para5"/>
      </w:pPr>
      <w:r>
        <w:t xml:space="preserve">The </w:t>
      </w:r>
      <w:r w:rsidR="0096168C">
        <w:t>general decision guidelines at c</w:t>
      </w:r>
      <w:r>
        <w:t>lause 65.</w:t>
      </w:r>
    </w:p>
    <w:p w:rsidR="00D71128" w:rsidRPr="00844186" w:rsidRDefault="00D71128" w:rsidP="00D71128">
      <w:pPr>
        <w:pStyle w:val="Heading4"/>
      </w:pPr>
      <w:r w:rsidRPr="00844186">
        <w:t>Monash Housing Strategy</w:t>
      </w:r>
      <w:r w:rsidR="0005614E" w:rsidRPr="00844186">
        <w:t xml:space="preserve"> and Amendment C125</w:t>
      </w:r>
    </w:p>
    <w:p w:rsidR="005E782E" w:rsidRPr="00844186" w:rsidRDefault="00702C59" w:rsidP="005C7E67">
      <w:pPr>
        <w:pStyle w:val="Para1"/>
      </w:pPr>
      <w:r w:rsidRPr="00844186">
        <w:t>The</w:t>
      </w:r>
      <w:r w:rsidR="009A4312" w:rsidRPr="00844186">
        <w:rPr>
          <w:i/>
        </w:rPr>
        <w:t xml:space="preserve"> </w:t>
      </w:r>
      <w:r w:rsidR="00DB78CF" w:rsidRPr="00844186">
        <w:rPr>
          <w:i/>
        </w:rPr>
        <w:t>Monash Housing Strategy</w:t>
      </w:r>
      <w:r w:rsidR="00DB78CF" w:rsidRPr="00844186">
        <w:t xml:space="preserve"> October 2014</w:t>
      </w:r>
      <w:r w:rsidRPr="00844186">
        <w:t xml:space="preserve"> </w:t>
      </w:r>
      <w:r w:rsidR="00C321A0" w:rsidRPr="00844186">
        <w:t>forms</w:t>
      </w:r>
      <w:r w:rsidRPr="00844186">
        <w:t xml:space="preserve"> the basis of Amendment C125.  </w:t>
      </w:r>
      <w:r w:rsidR="005E65F8" w:rsidRPr="00844186">
        <w:t xml:space="preserve">Part 1 </w:t>
      </w:r>
      <w:r w:rsidR="00CB453F" w:rsidRPr="00844186">
        <w:t xml:space="preserve">of the Amendment </w:t>
      </w:r>
      <w:r w:rsidR="005E65F8" w:rsidRPr="00844186">
        <w:t xml:space="preserve">has been gazetted.  </w:t>
      </w:r>
      <w:r w:rsidR="008E5E15">
        <w:t xml:space="preserve">The </w:t>
      </w:r>
      <w:r w:rsidR="008E5E15" w:rsidRPr="00844186">
        <w:rPr>
          <w:i/>
        </w:rPr>
        <w:t>Monash Housing Strateg</w:t>
      </w:r>
      <w:r w:rsidR="008E5E15">
        <w:rPr>
          <w:i/>
        </w:rPr>
        <w:t xml:space="preserve">y </w:t>
      </w:r>
      <w:r w:rsidR="008E5E15" w:rsidRPr="00844186">
        <w:t xml:space="preserve">is cited in clause 21.04.  </w:t>
      </w:r>
    </w:p>
    <w:p w:rsidR="005E782E" w:rsidRPr="00844186" w:rsidRDefault="00C321A0" w:rsidP="005C7E67">
      <w:pPr>
        <w:pStyle w:val="Para1"/>
      </w:pPr>
      <w:r w:rsidRPr="00844186">
        <w:t>The subject la</w:t>
      </w:r>
      <w:r w:rsidR="00295E6C" w:rsidRPr="00844186">
        <w:t xml:space="preserve">nd </w:t>
      </w:r>
      <w:r w:rsidR="008522BE" w:rsidRPr="00844186">
        <w:t>and surrounds</w:t>
      </w:r>
      <w:r w:rsidR="00295E6C" w:rsidRPr="00844186">
        <w:t xml:space="preserve"> </w:t>
      </w:r>
      <w:r w:rsidRPr="00844186">
        <w:t xml:space="preserve">are proposed to be included within a </w:t>
      </w:r>
      <w:r w:rsidR="00EB6044">
        <w:t>GRZ</w:t>
      </w:r>
      <w:r w:rsidR="005E782E" w:rsidRPr="00844186">
        <w:t xml:space="preserve"> </w:t>
      </w:r>
      <w:r w:rsidR="009C22BF">
        <w:t>Schedule 3</w:t>
      </w:r>
      <w:r w:rsidR="001F2E65">
        <w:t xml:space="preserve"> [GRZ3]</w:t>
      </w:r>
      <w:r w:rsidR="0094421F">
        <w:t>.  GRZ3 propose</w:t>
      </w:r>
      <w:r w:rsidR="00FA7AE6">
        <w:t>s</w:t>
      </w:r>
      <w:r w:rsidR="0094421F">
        <w:t xml:space="preserve"> variations to some standards in </w:t>
      </w:r>
      <w:r w:rsidR="005E782E" w:rsidRPr="00844186">
        <w:t>c</w:t>
      </w:r>
      <w:r w:rsidR="00BE3D06" w:rsidRPr="00844186">
        <w:t>lause</w:t>
      </w:r>
      <w:r w:rsidR="0096168C">
        <w:t>s</w:t>
      </w:r>
      <w:r w:rsidR="00BE3D06" w:rsidRPr="00844186">
        <w:t xml:space="preserve"> 54 and 55</w:t>
      </w:r>
      <w:r w:rsidR="00295E6C" w:rsidRPr="00844186">
        <w:t>.</w:t>
      </w:r>
      <w:r w:rsidR="005E65F8" w:rsidRPr="00844186">
        <w:t xml:space="preserve"> I was provided with a copy of the adopted provisions and associated changes to clause 22.01.  </w:t>
      </w:r>
    </w:p>
    <w:p w:rsidR="005E782E" w:rsidRPr="00844186" w:rsidRDefault="005E65F8" w:rsidP="00271C4B">
      <w:pPr>
        <w:pStyle w:val="Para1"/>
      </w:pPr>
      <w:r w:rsidRPr="00844186">
        <w:t xml:space="preserve">While I appreciate that the Amendment is adopted by the planning authority, the Amendment has been split by the Minister for Planning. </w:t>
      </w:r>
      <w:r w:rsidR="008B266F">
        <w:t xml:space="preserve">  Part </w:t>
      </w:r>
      <w:r w:rsidR="00A6241A">
        <w:t>2</w:t>
      </w:r>
      <w:r w:rsidR="008B266F">
        <w:t xml:space="preserve"> has </w:t>
      </w:r>
      <w:r w:rsidR="00A6241A">
        <w:t xml:space="preserve">not </w:t>
      </w:r>
      <w:r w:rsidR="008B266F">
        <w:t>been gazetted.</w:t>
      </w:r>
      <w:r w:rsidR="00475F0C">
        <w:t xml:space="preserve">  </w:t>
      </w:r>
      <w:r w:rsidRPr="00844186">
        <w:t xml:space="preserve">It is unknown at this stage </w:t>
      </w:r>
      <w:r w:rsidR="0096168C">
        <w:t>as</w:t>
      </w:r>
      <w:r w:rsidRPr="00844186">
        <w:t xml:space="preserve"> to what form Amendment C125 Part 2 will take if it is gazetted.  </w:t>
      </w:r>
      <w:r w:rsidR="00CB453F" w:rsidRPr="00844186">
        <w:t>As I understand it, revised character statements have not been introduced into the scheme.</w:t>
      </w:r>
    </w:p>
    <w:p w:rsidR="00DF4D3C" w:rsidRDefault="00237820" w:rsidP="00271C4B">
      <w:pPr>
        <w:pStyle w:val="Para1"/>
      </w:pPr>
      <w:r>
        <w:br w:type="page"/>
      </w:r>
      <w:r w:rsidR="0076771C">
        <w:rPr>
          <w:noProof/>
          <w:lang w:eastAsia="en-AU"/>
        </w:rPr>
        <w:lastRenderedPageBreak/>
        <w:drawing>
          <wp:anchor distT="0" distB="0" distL="114300" distR="114300" simplePos="0" relativeHeight="251659264"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8" name="VCAT Seal9"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9"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1A7048">
        <w:t>V</w:t>
      </w:r>
      <w:r w:rsidR="005E65F8" w:rsidRPr="00844186">
        <w:t xml:space="preserve">ariations to </w:t>
      </w:r>
      <w:r w:rsidR="0086798C">
        <w:t xml:space="preserve">clause </w:t>
      </w:r>
      <w:r w:rsidR="005E65F8" w:rsidRPr="00844186">
        <w:t xml:space="preserve">55 </w:t>
      </w:r>
      <w:r w:rsidR="0086798C">
        <w:t xml:space="preserve">in </w:t>
      </w:r>
      <w:r w:rsidR="001A7048">
        <w:t>the proposed GRZ3 differ from those currently applying to the subject land</w:t>
      </w:r>
      <w:r w:rsidR="0086798C">
        <w:t xml:space="preserve">.  </w:t>
      </w:r>
      <w:r w:rsidR="00A175D5">
        <w:t>It is appropriate to have</w:t>
      </w:r>
      <w:r w:rsidR="003B2348">
        <w:t xml:space="preserve"> regard to </w:t>
      </w:r>
      <w:r w:rsidR="009E4274">
        <w:t xml:space="preserve">the </w:t>
      </w:r>
      <w:r w:rsidR="0086798C" w:rsidRPr="00844186">
        <w:t xml:space="preserve">proposed provisions in the adopted version of the </w:t>
      </w:r>
      <w:r w:rsidR="0086798C">
        <w:t>A</w:t>
      </w:r>
      <w:r w:rsidR="0086798C" w:rsidRPr="00844186">
        <w:t>mendment</w:t>
      </w:r>
      <w:r w:rsidR="0044751B">
        <w:t xml:space="preserve"> under section 60 </w:t>
      </w:r>
      <w:r w:rsidR="00A175D5">
        <w:t xml:space="preserve">of the </w:t>
      </w:r>
      <w:r w:rsidR="00A175D5" w:rsidRPr="00A175D5">
        <w:rPr>
          <w:i/>
        </w:rPr>
        <w:t>Planning and Environment Act 1987</w:t>
      </w:r>
      <w:r w:rsidR="003B2348">
        <w:t xml:space="preserve">.  </w:t>
      </w:r>
      <w:r w:rsidR="00A6241A">
        <w:t>In this context, and despite</w:t>
      </w:r>
      <w:r w:rsidR="003B2348">
        <w:t xml:space="preserve"> the outcome of Part 2 </w:t>
      </w:r>
      <w:r w:rsidR="00A6241A">
        <w:t>being un</w:t>
      </w:r>
      <w:r w:rsidR="003B2348">
        <w:t xml:space="preserve">certain, </w:t>
      </w:r>
      <w:r w:rsidR="00A175D5">
        <w:t xml:space="preserve">it appears that </w:t>
      </w:r>
      <w:r w:rsidR="005E65F8" w:rsidRPr="00844186">
        <w:t>the p</w:t>
      </w:r>
      <w:r w:rsidR="005C7E67" w:rsidRPr="00844186">
        <w:t xml:space="preserve">roposal would meet </w:t>
      </w:r>
      <w:r w:rsidR="001A7048">
        <w:t>GRZ3’s</w:t>
      </w:r>
      <w:r w:rsidR="005C7E67" w:rsidRPr="00844186">
        <w:t xml:space="preserve"> varied </w:t>
      </w:r>
      <w:r w:rsidR="00C7768B" w:rsidRPr="00844186">
        <w:t xml:space="preserve">numerical </w:t>
      </w:r>
      <w:r w:rsidR="005C7E67" w:rsidRPr="00844186">
        <w:t xml:space="preserve">provisions </w:t>
      </w:r>
      <w:r w:rsidR="009E4274">
        <w:t>(front setback</w:t>
      </w:r>
      <w:r w:rsidR="00A175D5">
        <w:t xml:space="preserve">, landscaping </w:t>
      </w:r>
      <w:r w:rsidR="00B14F10" w:rsidRPr="00844186">
        <w:t>and</w:t>
      </w:r>
      <w:r w:rsidR="0086798C">
        <w:t xml:space="preserve"> </w:t>
      </w:r>
      <w:r w:rsidR="00B14F10" w:rsidRPr="00844186">
        <w:t xml:space="preserve">permeability) </w:t>
      </w:r>
      <w:r w:rsidR="005E65F8" w:rsidRPr="00844186">
        <w:t xml:space="preserve">or could be modified to so do (to achieve the </w:t>
      </w:r>
      <w:r w:rsidR="00A175D5">
        <w:t>site coverage, if it was determined that the relevant objective was not met</w:t>
      </w:r>
      <w:r w:rsidR="005E65F8" w:rsidRPr="00844186">
        <w:t xml:space="preserve">).  </w:t>
      </w:r>
    </w:p>
    <w:p w:rsidR="00DF4D3C" w:rsidRDefault="00DF4D3C" w:rsidP="00DF4D3C">
      <w:pPr>
        <w:pStyle w:val="Heading4"/>
      </w:pPr>
      <w:r>
        <w:t>Context for the approval of the dwellings at No. 10 Armstrong</w:t>
      </w:r>
      <w:r w:rsidR="006F25B4">
        <w:t xml:space="preserve"> Street</w:t>
      </w:r>
      <w:r>
        <w:t xml:space="preserve"> </w:t>
      </w:r>
    </w:p>
    <w:p w:rsidR="00DF4D3C" w:rsidRDefault="0032681E" w:rsidP="005C7E67">
      <w:pPr>
        <w:pStyle w:val="Para1"/>
      </w:pPr>
      <w:r>
        <w:t>A</w:t>
      </w:r>
      <w:r w:rsidR="008B4CB1">
        <w:t>s</w:t>
      </w:r>
      <w:r>
        <w:t xml:space="preserve"> there has been a strong focus on the pair of dwellings abutting the subject land</w:t>
      </w:r>
      <w:r w:rsidR="00EB6044">
        <w:t xml:space="preserve"> at No. 10 Armstrong Street</w:t>
      </w:r>
      <w:r>
        <w:t xml:space="preserve">, it is relevant to </w:t>
      </w:r>
      <w:r w:rsidR="008B4CB1">
        <w:t>note that:</w:t>
      </w:r>
    </w:p>
    <w:p w:rsidR="008B4CB1" w:rsidRDefault="008B4CB1" w:rsidP="008B4CB1">
      <w:pPr>
        <w:pStyle w:val="Para5"/>
      </w:pPr>
      <w:r>
        <w:t xml:space="preserve">There </w:t>
      </w:r>
      <w:r w:rsidR="0011620B">
        <w:t>does not appear to have been</w:t>
      </w:r>
      <w:r>
        <w:t xml:space="preserve"> significant change</w:t>
      </w:r>
      <w:r w:rsidR="0011620B">
        <w:t>s</w:t>
      </w:r>
      <w:r>
        <w:t xml:space="preserve"> in the physical setting since the time of the Tribunal’s decision</w:t>
      </w:r>
      <w:r w:rsidR="002E566D">
        <w:t xml:space="preserve"> in 2012</w:t>
      </w:r>
      <w:r>
        <w:t>.</w:t>
      </w:r>
    </w:p>
    <w:p w:rsidR="008B4CB1" w:rsidRDefault="008B4CB1" w:rsidP="008B4CB1">
      <w:pPr>
        <w:pStyle w:val="Para5"/>
      </w:pPr>
      <w:r>
        <w:t xml:space="preserve">The subject land and surrounds were, at that time, within the Residential 1 Zone.  The purpose was similar to the current GRZ to </w:t>
      </w:r>
      <w:r>
        <w:rPr>
          <w:lang w:eastAsia="en-AU"/>
        </w:rPr>
        <w:t>encourage residential development that respects the neighbourhood character.</w:t>
      </w:r>
      <w:r w:rsidR="001E30C3">
        <w:rPr>
          <w:lang w:eastAsia="en-AU"/>
        </w:rPr>
        <w:t xml:space="preserve">  [The purpose also was to provide for residential development at a range of densities with a variety of dwellings to meet the housing needs of all households].</w:t>
      </w:r>
    </w:p>
    <w:p w:rsidR="00DF4D3C" w:rsidRDefault="006D46EF" w:rsidP="00271C4B">
      <w:pPr>
        <w:pStyle w:val="Para1"/>
      </w:pPr>
      <w:r>
        <w:t>A key issue in that case was the presentation of double garages and two crossovers (this was not</w:t>
      </w:r>
      <w:r w:rsidR="0011620B">
        <w:t>,</w:t>
      </w:r>
      <w:r>
        <w:t xml:space="preserve"> however, the only issue).   The Council had argued that t</w:t>
      </w:r>
      <w:r w:rsidR="00D45CB7">
        <w:t>he two double garages, driveways and crossovers at the front of the land would be inconsistent with policy as they restrict opportunities for replacement landscaping.</w:t>
      </w:r>
      <w:r>
        <w:t xml:space="preserve"> </w:t>
      </w:r>
    </w:p>
    <w:p w:rsidR="00DF4D3C" w:rsidRDefault="006D46EF" w:rsidP="00271C4B">
      <w:pPr>
        <w:pStyle w:val="Para1"/>
      </w:pPr>
      <w:r>
        <w:t xml:space="preserve">The </w:t>
      </w:r>
      <w:r w:rsidR="00973249">
        <w:t xml:space="preserve">Tribunal </w:t>
      </w:r>
      <w:r>
        <w:t>acknowledge</w:t>
      </w:r>
      <w:r w:rsidR="001E30C3">
        <w:t xml:space="preserve">d concerns </w:t>
      </w:r>
      <w:r>
        <w:t xml:space="preserve">with </w:t>
      </w:r>
      <w:r w:rsidR="00973249">
        <w:t>dual double garages</w:t>
      </w:r>
      <w:r w:rsidR="00F31928">
        <w:t>, saying in part</w:t>
      </w:r>
      <w:r w:rsidR="00973249">
        <w:t>:</w:t>
      </w:r>
      <w:r w:rsidR="00973249" w:rsidRPr="00973249">
        <w:rPr>
          <w:rStyle w:val="FootnoteReference"/>
        </w:rPr>
        <w:t xml:space="preserve"> </w:t>
      </w:r>
      <w:r w:rsidR="00973249">
        <w:rPr>
          <w:rStyle w:val="FootnoteReference"/>
        </w:rPr>
        <w:footnoteReference w:id="9"/>
      </w:r>
    </w:p>
    <w:p w:rsidR="00973249" w:rsidRDefault="00973249" w:rsidP="00973249">
      <w:pPr>
        <w:pStyle w:val="Quote1"/>
      </w:pPr>
      <w:r>
        <w:t>Generally, I do not favour the provision of two double garage doors and driveways in side by side developments. I think they can present an unduly blank and inward looking interface to the street. This façade can be out of place in streetscapes with open gardens and single carport and garages at the side of or behind the dwellings. Often I have required the double garages to be replaced with a tandem parking arrangement, and the entry to the dwellings to be augmented by a habitable room such as a study with front windows to create a more interactive facade. I think that many side by side developments are adopting this approach.</w:t>
      </w:r>
    </w:p>
    <w:p w:rsidR="00973249" w:rsidRDefault="00973249" w:rsidP="00973249">
      <w:pPr>
        <w:pStyle w:val="Quote1"/>
      </w:pPr>
      <w:r>
        <w:t>Another reason often advanced not to support two double garage doors in the front façades of side by side dwellings is that they diminish the legibility of the dwelling entries. They also diminish opportunities for casual surveillance of the street. Blank double garages can be a built form that creates an impression that the dwellings are an inward fortress, disinterested and cut off from the public realm.</w:t>
      </w:r>
    </w:p>
    <w:p w:rsidR="00973249" w:rsidRDefault="00A175D5" w:rsidP="00973249">
      <w:pPr>
        <w:pStyle w:val="Quote1"/>
      </w:pPr>
      <w:r>
        <w:br w:type="page"/>
      </w:r>
      <w:r w:rsidR="0076771C">
        <w:rPr>
          <w:noProof/>
          <w:lang w:eastAsia="en-AU"/>
        </w:rPr>
        <w:lastRenderedPageBreak/>
        <w:drawing>
          <wp:anchor distT="0" distB="0" distL="114300" distR="114300" simplePos="0" relativeHeight="251660288"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29" name="VCAT Seal10"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0"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973249">
        <w:t xml:space="preserve">In this development, in this particular neighbourhood, I think the two double garages facing the street would be acceptable. I have noted that garage doors are a prominent feature of this neighbourhood. The two proposed garage doors would be partly screened from the street by the slope of the land, the relatively deep setback to the front of the dwelling and the generous landscaping. </w:t>
      </w:r>
    </w:p>
    <w:p w:rsidR="00973249" w:rsidRDefault="00A175D5" w:rsidP="005C7E67">
      <w:pPr>
        <w:pStyle w:val="Para1"/>
      </w:pPr>
      <w:r>
        <w:t>The Tribunal found in favour of this aspect of the design response for the following</w:t>
      </w:r>
      <w:r w:rsidR="00495C1B">
        <w:t xml:space="preserve"> additional</w:t>
      </w:r>
      <w:r>
        <w:t xml:space="preserve"> reasons:</w:t>
      </w:r>
      <w:r>
        <w:rPr>
          <w:rStyle w:val="FootnoteReference"/>
        </w:rPr>
        <w:footnoteReference w:id="10"/>
      </w:r>
    </w:p>
    <w:p w:rsidR="00973249" w:rsidRDefault="008B4CB1" w:rsidP="00A175D5">
      <w:pPr>
        <w:pStyle w:val="Quote1"/>
      </w:pPr>
      <w:r>
        <w:t xml:space="preserve">The front setback area available for landscaping would be 9 metres deep and have a width from 5.3 metres to 11 metres. Additional 3 metre wide landscape areas are provided along the east and west boundaries. </w:t>
      </w:r>
    </w:p>
    <w:p w:rsidR="00900E6A" w:rsidRDefault="00A175D5" w:rsidP="00A175D5">
      <w:pPr>
        <w:pStyle w:val="Quote1"/>
      </w:pPr>
      <w:r>
        <w:t>…</w:t>
      </w:r>
    </w:p>
    <w:p w:rsidR="00973249" w:rsidRDefault="00900E6A" w:rsidP="00A175D5">
      <w:pPr>
        <w:pStyle w:val="Quote1"/>
      </w:pPr>
      <w:r>
        <w:t>I am also satisfied that the double crossovers would also be a satisfactory fit into the streetscape. The crossovers would be approximately 12 metres apart. The two crossovers would be visually separated by the existing mature street tree. I do not think that one additional crossover in this street would appear overwhelming or inconsistent with the rhythm of the crossovers in the street</w:t>
      </w:r>
      <w:r w:rsidR="00AE1F84">
        <w:t>.</w:t>
      </w:r>
    </w:p>
    <w:p w:rsidR="00772FC6" w:rsidRDefault="003D4165" w:rsidP="00B71B86">
      <w:pPr>
        <w:pStyle w:val="Para1"/>
      </w:pPr>
      <w:r>
        <w:t>Overall, in character terms, the Tribunal concluded:</w:t>
      </w:r>
    </w:p>
    <w:p w:rsidR="003D4165" w:rsidRDefault="003D4165" w:rsidP="003D4165">
      <w:pPr>
        <w:pStyle w:val="Quote1"/>
      </w:pPr>
      <w:r>
        <w:t>I am satisfied that whilst the proposed dwellings are large, they would fit well into this neighbourhood that comprises large dwellings, many of which have limited articulation and where double garage doors and driveways are a characteristic of the streetscape. I am also satisfied that the development provides adequate opportunities for canopy trees that will augment the landscape in the public realm and screen the dwellings.</w:t>
      </w:r>
    </w:p>
    <w:p w:rsidR="003D4165" w:rsidRDefault="003D4165" w:rsidP="003D4165">
      <w:pPr>
        <w:pStyle w:val="Heading2"/>
      </w:pPr>
      <w:r w:rsidRPr="00844186">
        <w:t>DOES THE PROPOSAL RESPECT NEIGHBOURHOOD CHARACTER AND</w:t>
      </w:r>
      <w:r>
        <w:t xml:space="preserve"> CONTRIBUTE TO THE PREFERRED CHARACTER?</w:t>
      </w:r>
    </w:p>
    <w:p w:rsidR="00627789" w:rsidRDefault="00187A8A" w:rsidP="00B71B86">
      <w:pPr>
        <w:pStyle w:val="Para1"/>
      </w:pPr>
      <w:r>
        <w:t>The</w:t>
      </w:r>
      <w:r w:rsidR="00B71B86">
        <w:t xml:space="preserve"> development of </w:t>
      </w:r>
      <w:r w:rsidR="00D15E11">
        <w:t>two</w:t>
      </w:r>
      <w:r w:rsidR="00B71B86">
        <w:t xml:space="preserve"> dwelling</w:t>
      </w:r>
      <w:r w:rsidR="00D15E11">
        <w:t>s</w:t>
      </w:r>
      <w:r w:rsidR="00B71B86">
        <w:t xml:space="preserve"> on the land is acceptable</w:t>
      </w:r>
      <w:r w:rsidR="00627789">
        <w:t xml:space="preserve">. </w:t>
      </w:r>
      <w:r w:rsidR="008B6987">
        <w:t>S</w:t>
      </w:r>
      <w:r w:rsidR="00627789">
        <w:t xml:space="preserve">cheme policy encourages housing growth and diversity in this location.  This is </w:t>
      </w:r>
      <w:r w:rsidR="0011620B">
        <w:t>not in</w:t>
      </w:r>
      <w:r w:rsidR="00627789">
        <w:t xml:space="preserve"> dispute </w:t>
      </w:r>
      <w:r w:rsidR="0011620B">
        <w:t xml:space="preserve">between the parties </w:t>
      </w:r>
      <w:r w:rsidR="00627789">
        <w:t>in this proceeding</w:t>
      </w:r>
      <w:r w:rsidR="00B71B86">
        <w:t xml:space="preserve">.  </w:t>
      </w:r>
    </w:p>
    <w:p w:rsidR="00627789" w:rsidRDefault="00B71B86" w:rsidP="00101D5F">
      <w:pPr>
        <w:pStyle w:val="Para1"/>
      </w:pPr>
      <w:r>
        <w:t>The applicant’s case emphasises the proposal</w:t>
      </w:r>
      <w:r w:rsidR="007B3316">
        <w:t>’s</w:t>
      </w:r>
      <w:r>
        <w:t xml:space="preserve"> compliance with the numerical standards in clause 55</w:t>
      </w:r>
      <w:r w:rsidR="00627789">
        <w:t xml:space="preserve">, its similar scale and form </w:t>
      </w:r>
      <w:r w:rsidR="008E22EC">
        <w:t>to</w:t>
      </w:r>
      <w:r w:rsidR="00627789">
        <w:t xml:space="preserve"> No. 10 Armstrong Street,</w:t>
      </w:r>
      <w:r w:rsidR="00EC5F41">
        <w:t xml:space="preserve"> the landscaping opportunities provided, and the way in which the </w:t>
      </w:r>
      <w:r w:rsidR="0011620B">
        <w:t>design</w:t>
      </w:r>
      <w:r w:rsidR="00EC5F41">
        <w:t xml:space="preserve"> responds well to the rhythm and spacing of adjacent dwellings.  The proposal, it submits, sits well with the look and feel of the neighbourhood, mindful of the topography</w:t>
      </w:r>
      <w:r w:rsidR="009C22BF">
        <w:t xml:space="preserve"> and </w:t>
      </w:r>
      <w:r w:rsidR="00EC5F41">
        <w:t>various forms of architecture, including roof styles.</w:t>
      </w:r>
      <w:r w:rsidR="001D2B5C">
        <w:t xml:space="preserve">  There are opportunities </w:t>
      </w:r>
      <w:r w:rsidR="009C22BF">
        <w:t>to plant</w:t>
      </w:r>
      <w:r w:rsidR="001D2B5C">
        <w:t xml:space="preserve"> canopy trees, particularly to the front and rear of the land, as sought by the desired future character statement</w:t>
      </w:r>
      <w:r w:rsidR="0011620B">
        <w:t>, the applicant submits</w:t>
      </w:r>
      <w:r w:rsidR="001D2B5C">
        <w:t xml:space="preserve">.  </w:t>
      </w:r>
      <w:r w:rsidR="0011620B">
        <w:t>It further contends the</w:t>
      </w:r>
      <w:r w:rsidR="001D2B5C">
        <w:t xml:space="preserve"> building scale is no different to surrounding dwellings, particularly those to the east and west of the subject land.  Moreover, the side-by-side approach allows a deep rear setback to maintain a rear garden spine.</w:t>
      </w:r>
    </w:p>
    <w:p w:rsidR="00DF195B" w:rsidRDefault="0076771C" w:rsidP="00101D5F">
      <w:pPr>
        <w:pStyle w:val="Para1"/>
      </w:pPr>
      <w:r>
        <w:rPr>
          <w:noProof/>
          <w:lang w:eastAsia="en-AU"/>
        </w:rPr>
        <w:lastRenderedPageBreak/>
        <w:drawing>
          <wp:anchor distT="0" distB="0" distL="114300" distR="114300" simplePos="0" relativeHeight="251661312"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30" name="VCAT Seal11"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1"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DF195B">
        <w:t>The Council and respondent do not agree</w:t>
      </w:r>
      <w:r w:rsidR="0011620B">
        <w:t xml:space="preserve"> with these and related submissions made by the applicant</w:t>
      </w:r>
      <w:r w:rsidR="00DF195B">
        <w:t xml:space="preserve">.  The Council submits that the scale, bulk and visual mass of the development is excessive.  </w:t>
      </w:r>
      <w:r w:rsidR="0011620B">
        <w:t>D</w:t>
      </w:r>
      <w:r w:rsidR="00DF195B">
        <w:t>ouble garage</w:t>
      </w:r>
      <w:r w:rsidR="0011620B">
        <w:t>s</w:t>
      </w:r>
      <w:r w:rsidR="00DF195B">
        <w:t xml:space="preserve"> will present as an overly prominent element in the streetscape and the layout </w:t>
      </w:r>
      <w:r w:rsidR="0011620B">
        <w:t>has</w:t>
      </w:r>
      <w:r w:rsidR="00DF195B">
        <w:t xml:space="preserve"> insufficient space for canopy planting.  The proposal does not achieve an acceptable character outcome </w:t>
      </w:r>
      <w:r w:rsidR="0011620B">
        <w:t xml:space="preserve">in the Council’s view </w:t>
      </w:r>
      <w:r w:rsidR="00DF195B">
        <w:t xml:space="preserve">because there are insufficient opportunities to create a garden setting in the front </w:t>
      </w:r>
      <w:r w:rsidR="009C22BF">
        <w:t>and</w:t>
      </w:r>
      <w:r w:rsidR="00DF195B">
        <w:t xml:space="preserve"> rear the si</w:t>
      </w:r>
      <w:r w:rsidR="009C22BF">
        <w:t>t</w:t>
      </w:r>
      <w:r w:rsidR="00DF195B">
        <w:t xml:space="preserve">e and the </w:t>
      </w:r>
      <w:r w:rsidR="009C22BF">
        <w:t xml:space="preserve">proposed </w:t>
      </w:r>
      <w:r w:rsidR="00DF195B">
        <w:t>setbacks and building mass do not respect the neighbourhood characte</w:t>
      </w:r>
      <w:r w:rsidR="000804FF">
        <w:t xml:space="preserve">r.   The </w:t>
      </w:r>
      <w:r w:rsidR="003F47C3">
        <w:t>slope</w:t>
      </w:r>
      <w:r w:rsidR="000804FF">
        <w:t xml:space="preserve"> exacerbates the visual impact of the development’s scale and massing.  The Council </w:t>
      </w:r>
      <w:r w:rsidR="003F47C3">
        <w:t>says</w:t>
      </w:r>
      <w:r w:rsidR="000804FF">
        <w:t xml:space="preserve"> there is a minor non-compliance with Standard B17, which is not conceded in </w:t>
      </w:r>
      <w:r w:rsidR="004473FF">
        <w:t xml:space="preserve">Mr Bowden’s </w:t>
      </w:r>
      <w:r w:rsidR="000804FF">
        <w:t>expert evidence.</w:t>
      </w:r>
    </w:p>
    <w:p w:rsidR="00B71B86" w:rsidRDefault="00627789" w:rsidP="00101D5F">
      <w:pPr>
        <w:pStyle w:val="Para1"/>
      </w:pPr>
      <w:r>
        <w:t>As</w:t>
      </w:r>
      <w:r w:rsidR="00B71B86">
        <w:t xml:space="preserve"> the Tribunal frequently states, meeting </w:t>
      </w:r>
      <w:r>
        <w:t xml:space="preserve">clause 55’s </w:t>
      </w:r>
      <w:r w:rsidR="00E32013">
        <w:t>numerical</w:t>
      </w:r>
      <w:r w:rsidR="00B71B86">
        <w:t xml:space="preserve"> standards </w:t>
      </w:r>
      <w:r w:rsidR="00C06550">
        <w:t xml:space="preserve">is a relevant consideration in assessing the merits of the permit application.  However, it </w:t>
      </w:r>
      <w:r w:rsidR="00B71B86">
        <w:t xml:space="preserve">does not guarantee </w:t>
      </w:r>
      <w:r w:rsidR="007B3316">
        <w:t xml:space="preserve">a design </w:t>
      </w:r>
      <w:r w:rsidR="00B71B86">
        <w:t xml:space="preserve">that </w:t>
      </w:r>
      <w:r w:rsidR="007B3316">
        <w:t xml:space="preserve">responds to </w:t>
      </w:r>
      <w:r w:rsidR="00B71B86">
        <w:t xml:space="preserve">specific local character </w:t>
      </w:r>
      <w:r w:rsidR="00B71B86" w:rsidRPr="00055D05">
        <w:t>features.</w:t>
      </w:r>
      <w:r w:rsidR="001D2267">
        <w:t xml:space="preserve">  </w:t>
      </w:r>
      <w:r w:rsidR="00B71B86" w:rsidRPr="00055D05">
        <w:t xml:space="preserve">I have referred to some of the key character features above </w:t>
      </w:r>
      <w:r w:rsidR="002E566D">
        <w:t>as well as</w:t>
      </w:r>
      <w:r w:rsidR="007B3316">
        <w:t xml:space="preserve"> the desired future character</w:t>
      </w:r>
      <w:r w:rsidR="00902D61">
        <w:t xml:space="preserve"> contained in policy</w:t>
      </w:r>
      <w:r w:rsidR="007B3316">
        <w:t xml:space="preserve">.  </w:t>
      </w:r>
    </w:p>
    <w:p w:rsidR="004436D1" w:rsidRDefault="004436D1" w:rsidP="004436D1">
      <w:pPr>
        <w:pStyle w:val="Para1"/>
      </w:pPr>
      <w:r>
        <w:t xml:space="preserve">The proposed dwellings are side-by-side in their format, each with a double garage </w:t>
      </w:r>
      <w:r w:rsidR="00F538D6">
        <w:t>and</w:t>
      </w:r>
      <w:r>
        <w:t xml:space="preserve"> separate vehicle access points.   Unit 1 </w:t>
      </w:r>
      <w:r w:rsidR="00C06550">
        <w:t xml:space="preserve">is to the </w:t>
      </w:r>
      <w:r>
        <w:t xml:space="preserve">west </w:t>
      </w:r>
      <w:r w:rsidR="00C06550">
        <w:t>or high side of the subject land.  It is</w:t>
      </w:r>
      <w:r>
        <w:t xml:space="preserve"> around </w:t>
      </w:r>
      <w:r w:rsidR="00770013">
        <w:t>one</w:t>
      </w:r>
      <w:r>
        <w:t xml:space="preserve"> m</w:t>
      </w:r>
      <w:r w:rsidR="00C06550">
        <w:t>etre</w:t>
      </w:r>
      <w:r>
        <w:t xml:space="preserve"> higher than Unit 2 to the east</w:t>
      </w:r>
      <w:r w:rsidR="00C06550">
        <w:t>, which abuts the dwellings downslope at No. 10 Armstrong Street</w:t>
      </w:r>
      <w:r>
        <w:t xml:space="preserve">.  There is a </w:t>
      </w:r>
      <w:r w:rsidR="00090259">
        <w:t>shallow</w:t>
      </w:r>
      <w:r>
        <w:t xml:space="preserve"> stagger in the dwelling</w:t>
      </w:r>
      <w:r w:rsidR="00E10231">
        <w:t xml:space="preserve">s’ front </w:t>
      </w:r>
      <w:r>
        <w:t xml:space="preserve">setbacks.  The </w:t>
      </w:r>
      <w:r w:rsidR="0064617E">
        <w:t>proposed units</w:t>
      </w:r>
      <w:r>
        <w:t xml:space="preserve"> are two to three storeys</w:t>
      </w:r>
      <w:r w:rsidR="00E10231">
        <w:t xml:space="preserve"> and, like the dwellings at No. 10 Armstrong Street, the </w:t>
      </w:r>
      <w:r w:rsidR="00E32013">
        <w:t>highest part</w:t>
      </w:r>
      <w:r w:rsidR="00E10231">
        <w:t xml:space="preserve"> of the development is </w:t>
      </w:r>
      <w:r w:rsidR="00090259">
        <w:t>centrally</w:t>
      </w:r>
      <w:r w:rsidR="00E10231">
        <w:t xml:space="preserve"> within the land</w:t>
      </w:r>
      <w:r w:rsidR="00090259">
        <w:t>.  The dwellings step</w:t>
      </w:r>
      <w:r w:rsidR="00E10231">
        <w:t xml:space="preserve"> down toward the rear where the land falls to the south.  This is where </w:t>
      </w:r>
      <w:r w:rsidR="0064617E">
        <w:t>some</w:t>
      </w:r>
      <w:r w:rsidR="00E10231">
        <w:t xml:space="preserve"> views are obtained and, consequently, balconies </w:t>
      </w:r>
      <w:r w:rsidR="002E566D">
        <w:t xml:space="preserve">are </w:t>
      </w:r>
      <w:r w:rsidR="00E10231">
        <w:t xml:space="preserve">proposed to the </w:t>
      </w:r>
      <w:r w:rsidR="00090259">
        <w:t>first</w:t>
      </w:r>
      <w:r w:rsidR="00E10231">
        <w:t xml:space="preserve"> level living rooms and </w:t>
      </w:r>
      <w:r w:rsidR="00090259">
        <w:t xml:space="preserve">second floor </w:t>
      </w:r>
      <w:r w:rsidR="00E10231">
        <w:t>bedrooms.</w:t>
      </w:r>
    </w:p>
    <w:p w:rsidR="00AB0B10" w:rsidRDefault="00AB0B10" w:rsidP="00AB0B10">
      <w:pPr>
        <w:pStyle w:val="Para1"/>
        <w:ind w:right="-135"/>
      </w:pPr>
      <w:r>
        <w:t>Elements of the proposed design are acceptable in principle.  These include:</w:t>
      </w:r>
    </w:p>
    <w:p w:rsidR="00AB0B10" w:rsidRDefault="00AB0B10" w:rsidP="00AB0B10">
      <w:pPr>
        <w:pStyle w:val="Para5"/>
      </w:pPr>
      <w:r>
        <w:t>The two storey presentation to the street, which responds to the many two storey dwellings adjacent and nearby.</w:t>
      </w:r>
    </w:p>
    <w:p w:rsidR="00AB0B10" w:rsidRDefault="00AB0B10" w:rsidP="00AB0B10">
      <w:pPr>
        <w:pStyle w:val="Para5"/>
      </w:pPr>
      <w:r>
        <w:t xml:space="preserve">The </w:t>
      </w:r>
      <w:r w:rsidR="00D33E64">
        <w:t>principle of a</w:t>
      </w:r>
      <w:r>
        <w:t xml:space="preserve"> stepped built form to respond to the </w:t>
      </w:r>
      <w:r w:rsidR="001F0091">
        <w:t>slope</w:t>
      </w:r>
      <w:r>
        <w:t xml:space="preserve"> and crossfall.</w:t>
      </w:r>
    </w:p>
    <w:p w:rsidR="00AB0B10" w:rsidRDefault="00AB0B10" w:rsidP="002D2C47">
      <w:pPr>
        <w:pStyle w:val="Para5"/>
      </w:pPr>
      <w:r>
        <w:t>Compliance with Standard B6, which is exceeded.</w:t>
      </w:r>
    </w:p>
    <w:p w:rsidR="00AB0B10" w:rsidRDefault="00AB0B10" w:rsidP="002D2C47">
      <w:pPr>
        <w:pStyle w:val="Para5"/>
      </w:pPr>
      <w:r>
        <w:t xml:space="preserve">A contemporary design response including materials and finishes and a skillion roof form. </w:t>
      </w:r>
    </w:p>
    <w:p w:rsidR="00AB0B10" w:rsidRDefault="00AB0B10" w:rsidP="00AB0B10">
      <w:pPr>
        <w:pStyle w:val="Para5"/>
      </w:pPr>
      <w:r>
        <w:t xml:space="preserve">The lack of a front fence to maximise the opportunity for landscaping in the front garden to </w:t>
      </w:r>
      <w:r w:rsidR="001F0091">
        <w:t>contribute</w:t>
      </w:r>
      <w:r>
        <w:t xml:space="preserve"> to the neighbourhood character.</w:t>
      </w:r>
    </w:p>
    <w:p w:rsidR="004473FF" w:rsidRDefault="00702919" w:rsidP="00101D5F">
      <w:pPr>
        <w:pStyle w:val="Para1"/>
      </w:pPr>
      <w:r>
        <w:t>When considered overall, t</w:t>
      </w:r>
      <w:r w:rsidR="00C06550">
        <w:t>he</w:t>
      </w:r>
      <w:r w:rsidR="00EC5F41">
        <w:t xml:space="preserve"> scale and massing </w:t>
      </w:r>
      <w:r w:rsidR="00C06550">
        <w:t>of the proposed development</w:t>
      </w:r>
      <w:r w:rsidR="00EC5F41">
        <w:t xml:space="preserve"> </w:t>
      </w:r>
      <w:r w:rsidR="009C22BF">
        <w:t xml:space="preserve">is </w:t>
      </w:r>
      <w:r w:rsidR="00EC5F41">
        <w:t>not dissimilar to the pair of dwellings at No. 10 Armstrong Street</w:t>
      </w:r>
      <w:r w:rsidR="00C06550">
        <w:t>.   Mr Crawford acknowledges that the proposed development takes a lead from that adjacent site</w:t>
      </w:r>
      <w:r w:rsidR="00D72467">
        <w:t xml:space="preserve">.  He submits </w:t>
      </w:r>
      <w:r w:rsidR="00C06550">
        <w:t>a side-by-side project is appropriate and can achieve an acceptable outcome.</w:t>
      </w:r>
      <w:r w:rsidR="00197535">
        <w:t xml:space="preserve">  </w:t>
      </w:r>
    </w:p>
    <w:p w:rsidR="00627789" w:rsidRDefault="004473FF" w:rsidP="00101D5F">
      <w:pPr>
        <w:pStyle w:val="Para1"/>
      </w:pPr>
      <w:r>
        <w:br w:type="page"/>
      </w:r>
      <w:r w:rsidR="0076771C">
        <w:rPr>
          <w:noProof/>
          <w:lang w:eastAsia="en-AU"/>
        </w:rPr>
        <w:lastRenderedPageBreak/>
        <w:drawing>
          <wp:anchor distT="0" distB="0" distL="114300" distR="114300" simplePos="0" relativeHeight="251662336"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31" name="VCAT Seal12"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2"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t>On my assessment, t</w:t>
      </w:r>
      <w:r w:rsidR="00197535">
        <w:t xml:space="preserve">here are, however, differences in the way in which the proposed development presents to the street compared with that constructed project.  Among them </w:t>
      </w:r>
      <w:r>
        <w:t>are</w:t>
      </w:r>
      <w:r w:rsidR="00D72467">
        <w:t xml:space="preserve"> the following</w:t>
      </w:r>
      <w:r w:rsidR="00197535">
        <w:t>:</w:t>
      </w:r>
    </w:p>
    <w:p w:rsidR="00197535" w:rsidRDefault="00197535" w:rsidP="00197535">
      <w:pPr>
        <w:pStyle w:val="Para5"/>
      </w:pPr>
      <w:r>
        <w:t>Nos. 10A and 10B Armstrong Street are set</w:t>
      </w:r>
      <w:r w:rsidR="009C22BF">
        <w:t xml:space="preserve"> </w:t>
      </w:r>
      <w:r>
        <w:t xml:space="preserve">back from both </w:t>
      </w:r>
      <w:r w:rsidR="00307971">
        <w:t>side</w:t>
      </w:r>
      <w:r>
        <w:t xml:space="preserve"> boundaries with landscaping beds of over one metre </w:t>
      </w:r>
      <w:r w:rsidR="003D7872">
        <w:t>in</w:t>
      </w:r>
      <w:r>
        <w:t xml:space="preserve"> width adjacent to these boundaries.</w:t>
      </w:r>
      <w:r w:rsidR="002E566D">
        <w:t xml:space="preserve">  The proposed development is setback from one side boundary by </w:t>
      </w:r>
      <w:r w:rsidR="00E9147F">
        <w:t>one</w:t>
      </w:r>
      <w:r w:rsidR="002E566D">
        <w:t xml:space="preserve"> metre and abuts the western boundary.</w:t>
      </w:r>
    </w:p>
    <w:p w:rsidR="00FE4045" w:rsidRDefault="00FE4045" w:rsidP="002D2C47">
      <w:pPr>
        <w:pStyle w:val="Para5"/>
      </w:pPr>
      <w:r>
        <w:t>As described by the Tribunal</w:t>
      </w:r>
      <w:r w:rsidR="004473FF">
        <w:t xml:space="preserve"> in 2012</w:t>
      </w:r>
      <w:r>
        <w:t>, the central landscape area within the front garden is some 11 m</w:t>
      </w:r>
      <w:r w:rsidR="005465C2">
        <w:t>etres</w:t>
      </w:r>
      <w:r>
        <w:t xml:space="preserve"> wide at the site frontage.  By contrast, the proposed development</w:t>
      </w:r>
      <w:r w:rsidR="003D7872">
        <w:t xml:space="preserve"> has separate landscape spaces </w:t>
      </w:r>
      <w:r w:rsidR="00A24E67">
        <w:t xml:space="preserve">of 4 metres in width abutting </w:t>
      </w:r>
      <w:r w:rsidR="00307971">
        <w:t>t</w:t>
      </w:r>
      <w:r w:rsidR="00A24E67">
        <w:t xml:space="preserve">he street </w:t>
      </w:r>
      <w:r w:rsidR="003D7872">
        <w:t xml:space="preserve">with two pedestrian pathways   </w:t>
      </w:r>
      <w:r w:rsidR="005465C2">
        <w:t xml:space="preserve">This </w:t>
      </w:r>
      <w:r w:rsidR="004473FF">
        <w:t>means</w:t>
      </w:r>
      <w:r w:rsidR="005465C2">
        <w:t xml:space="preserve"> more </w:t>
      </w:r>
      <w:r w:rsidR="003D7872">
        <w:t>hard surfacing</w:t>
      </w:r>
      <w:r w:rsidR="00307971">
        <w:t>, less continuous landscaped space,</w:t>
      </w:r>
      <w:r w:rsidR="003D7872">
        <w:t xml:space="preserve"> and a stronger </w:t>
      </w:r>
      <w:r w:rsidR="005465C2">
        <w:t xml:space="preserve">presence of the </w:t>
      </w:r>
      <w:r w:rsidR="00E9147F">
        <w:t xml:space="preserve">two, double, </w:t>
      </w:r>
      <w:r w:rsidR="005465C2">
        <w:t>garages</w:t>
      </w:r>
      <w:r w:rsidR="003D7872">
        <w:t>.</w:t>
      </w:r>
    </w:p>
    <w:p w:rsidR="00197535" w:rsidRDefault="00FE4045" w:rsidP="002D2C47">
      <w:pPr>
        <w:pStyle w:val="Para5"/>
      </w:pPr>
      <w:r>
        <w:t xml:space="preserve">Nos. 10A and 10B Armstrong Street each have a </w:t>
      </w:r>
      <w:r w:rsidR="005465C2">
        <w:t xml:space="preserve">front </w:t>
      </w:r>
      <w:r>
        <w:t>setback of 9.1 metre</w:t>
      </w:r>
      <w:r w:rsidR="009C22BF">
        <w:t>s</w:t>
      </w:r>
      <w:r>
        <w:t xml:space="preserve"> to the garages with portico elements protruding forward by around one metre. By contrast, the propos</w:t>
      </w:r>
      <w:r w:rsidR="00307971">
        <w:t xml:space="preserve">al </w:t>
      </w:r>
      <w:r>
        <w:t xml:space="preserve">adopts garage setbacks of 8.3 </w:t>
      </w:r>
      <w:r w:rsidR="009C22BF">
        <w:t>metres to</w:t>
      </w:r>
      <w:r>
        <w:t xml:space="preserve"> 9 metres from the street with protruding portico</w:t>
      </w:r>
      <w:r w:rsidR="009C22BF">
        <w:t>s</w:t>
      </w:r>
      <w:r>
        <w:t xml:space="preserve">.  </w:t>
      </w:r>
    </w:p>
    <w:p w:rsidR="006824D7" w:rsidRDefault="006824D7" w:rsidP="002D2C47">
      <w:pPr>
        <w:pStyle w:val="Para5"/>
      </w:pPr>
      <w:r>
        <w:t>There are more opportunities for canopy trees around the dwellings at Nos. 10A and 10B Armstrong Street, as demonstrated in the landscape plan</w:t>
      </w:r>
      <w:r w:rsidR="004473FF">
        <w:t xml:space="preserve"> for that land</w:t>
      </w:r>
      <w:r>
        <w:t xml:space="preserve">, compared with the subject land which has to deal with a more significant grade along the western boundary </w:t>
      </w:r>
      <w:r w:rsidR="00307971">
        <w:t>requiring</w:t>
      </w:r>
      <w:r>
        <w:t xml:space="preserve"> retaining walls and stairs.</w:t>
      </w:r>
      <w:r w:rsidR="004473FF">
        <w:t xml:space="preserve">  </w:t>
      </w:r>
    </w:p>
    <w:p w:rsidR="00FE4045" w:rsidRDefault="00FE4045" w:rsidP="00101D5F">
      <w:pPr>
        <w:pStyle w:val="Para1"/>
      </w:pPr>
      <w:r>
        <w:t xml:space="preserve">On one view, these differences may not be considered by some as significant.  However, </w:t>
      </w:r>
      <w:r w:rsidR="00307971">
        <w:t xml:space="preserve">in </w:t>
      </w:r>
      <w:r>
        <w:t>my assessment, in this location, and with this design</w:t>
      </w:r>
      <w:r w:rsidR="004473FF">
        <w:t xml:space="preserve"> response</w:t>
      </w:r>
      <w:r>
        <w:t xml:space="preserve">, the proposal </w:t>
      </w:r>
      <w:r w:rsidR="003D7872">
        <w:t>extends over more of the lot wi</w:t>
      </w:r>
      <w:r w:rsidR="009C22BF">
        <w:t>d</w:t>
      </w:r>
      <w:r w:rsidR="003D7872">
        <w:t xml:space="preserve">th, has </w:t>
      </w:r>
      <w:r w:rsidR="00E50034">
        <w:t>fewer</w:t>
      </w:r>
      <w:r w:rsidR="003D7872">
        <w:t xml:space="preserve"> landscaping opportunities, and sits forward of the adjacent development.  Moreover, notwithstanding the use of cedar panelling and </w:t>
      </w:r>
      <w:r w:rsidR="00307971">
        <w:t xml:space="preserve">a crafted </w:t>
      </w:r>
      <w:r w:rsidR="003D7872">
        <w:t>architectural response to the garage</w:t>
      </w:r>
      <w:r w:rsidR="00307971">
        <w:t>s</w:t>
      </w:r>
      <w:r w:rsidR="003D7872">
        <w:t xml:space="preserve">, the wider garage for one dwelling </w:t>
      </w:r>
      <w:r w:rsidR="009C22BF">
        <w:t>and</w:t>
      </w:r>
      <w:r w:rsidR="003D7872">
        <w:t xml:space="preserve"> the standard double garage for the second together result in some 12.7 metres of the front façade being occupied with these elements.</w:t>
      </w:r>
      <w:r w:rsidR="00AA4CB9">
        <w:t xml:space="preserve">  This does not accord with the preferred character</w:t>
      </w:r>
      <w:r w:rsidR="008B1D54">
        <w:t xml:space="preserve"> and is at odds with the existing character features</w:t>
      </w:r>
      <w:r w:rsidR="00AA4CB9">
        <w:t>.</w:t>
      </w:r>
    </w:p>
    <w:p w:rsidR="005B1E9D" w:rsidRDefault="003D7872" w:rsidP="002D2C47">
      <w:pPr>
        <w:pStyle w:val="Para1"/>
      </w:pPr>
      <w:r>
        <w:t xml:space="preserve">I accept that the landform will influence how the front façade will </w:t>
      </w:r>
      <w:r w:rsidR="002E566D">
        <w:t>present</w:t>
      </w:r>
      <w:r>
        <w:t xml:space="preserve"> </w:t>
      </w:r>
      <w:r w:rsidR="00D33E64">
        <w:t xml:space="preserve">in the street, </w:t>
      </w:r>
      <w:r w:rsidR="00307971">
        <w:t>coupled with</w:t>
      </w:r>
      <w:r w:rsidR="00D33E64">
        <w:t xml:space="preserve"> the retention of the street tree.</w:t>
      </w:r>
      <w:r w:rsidR="00A24E67">
        <w:t xml:space="preserve">  However, w</w:t>
      </w:r>
      <w:r w:rsidR="00E65D6E">
        <w:t xml:space="preserve">hen read </w:t>
      </w:r>
      <w:r w:rsidR="00A24E67">
        <w:t xml:space="preserve">with the dwellings at No. 10 Armstrong Street, </w:t>
      </w:r>
      <w:r w:rsidR="00E50034">
        <w:t xml:space="preserve">and considered in the site’s </w:t>
      </w:r>
      <w:r w:rsidR="004473FF">
        <w:t>broader</w:t>
      </w:r>
      <w:r w:rsidR="00E50034">
        <w:t xml:space="preserve"> context, </w:t>
      </w:r>
      <w:r w:rsidR="00A24E67">
        <w:t xml:space="preserve">I find the proposed </w:t>
      </w:r>
      <w:r w:rsidR="005B1E9D">
        <w:t>development does not achieve a</w:t>
      </w:r>
      <w:r w:rsidR="002E566D">
        <w:t>n appropriate</w:t>
      </w:r>
      <w:r w:rsidR="005B1E9D">
        <w:t xml:space="preserve"> fit</w:t>
      </w:r>
      <w:r w:rsidR="001A42B9">
        <w:t xml:space="preserve">, unlike </w:t>
      </w:r>
      <w:r w:rsidR="005B1E9D">
        <w:t xml:space="preserve">other new development </w:t>
      </w:r>
      <w:r w:rsidR="001A42B9">
        <w:t xml:space="preserve">that </w:t>
      </w:r>
      <w:r w:rsidR="005B1E9D">
        <w:t xml:space="preserve">has been able to achieve </w:t>
      </w:r>
      <w:r w:rsidR="001A42B9">
        <w:t xml:space="preserve">an acceptable outcome </w:t>
      </w:r>
      <w:r w:rsidR="005B1E9D">
        <w:t>in this location.</w:t>
      </w:r>
    </w:p>
    <w:p w:rsidR="00A24E67" w:rsidRDefault="005B1E9D" w:rsidP="002D2C47">
      <w:pPr>
        <w:pStyle w:val="Para1"/>
      </w:pPr>
      <w:r>
        <w:t>In addition, I find that</w:t>
      </w:r>
      <w:r w:rsidR="00A24E67">
        <w:t>:</w:t>
      </w:r>
    </w:p>
    <w:p w:rsidR="00627789" w:rsidRDefault="00E50034" w:rsidP="00627789">
      <w:pPr>
        <w:pStyle w:val="Para5"/>
      </w:pPr>
      <w:r>
        <w:t>While many houses in the street do not have planting along both side boundaries, there is an evident sense of space and separation.  The proposal d</w:t>
      </w:r>
      <w:r w:rsidR="00A24E67">
        <w:t>oes not maintain the sense of building spacing and rhythm which is an evident character feature in this location</w:t>
      </w:r>
      <w:r w:rsidR="002E4D53">
        <w:t>.</w:t>
      </w:r>
    </w:p>
    <w:p w:rsidR="00B94C49" w:rsidRDefault="0076771C" w:rsidP="00657369">
      <w:pPr>
        <w:pStyle w:val="Para5"/>
      </w:pPr>
      <w:r>
        <w:rPr>
          <w:noProof/>
          <w:lang w:eastAsia="en-AU"/>
        </w:rPr>
        <w:lastRenderedPageBreak/>
        <w:drawing>
          <wp:anchor distT="0" distB="0" distL="114300" distR="114300" simplePos="0" relativeHeight="251663360"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32" name="VCAT Seal13"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3"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5B1E9D">
        <w:t>The substantial scale of the development is not sufficiently offset by setback opportunities for planting to provide the garden character outcome sought for this location, as the building presents to the street and adjacent to the rear portion of the proposed dwellings.</w:t>
      </w:r>
    </w:p>
    <w:p w:rsidR="00632323" w:rsidRDefault="00307971" w:rsidP="000258F2">
      <w:pPr>
        <w:pStyle w:val="Para1"/>
        <w:ind w:right="-135"/>
      </w:pPr>
      <w:r>
        <w:t xml:space="preserve">For these reasons, </w:t>
      </w:r>
      <w:r w:rsidR="00D12165">
        <w:t xml:space="preserve">I find the proposal does not satisfy </w:t>
      </w:r>
      <w:r w:rsidR="00201164">
        <w:t xml:space="preserve">either </w:t>
      </w:r>
      <w:r w:rsidR="00D12165">
        <w:t xml:space="preserve">the purpose of clause 32.08 </w:t>
      </w:r>
      <w:r w:rsidR="00E50034">
        <w:t xml:space="preserve">to respect the neighbourhood character </w:t>
      </w:r>
      <w:r w:rsidR="00201164">
        <w:t>or</w:t>
      </w:r>
      <w:r w:rsidR="00D12165">
        <w:t xml:space="preserve"> Standard B1 </w:t>
      </w:r>
      <w:r w:rsidR="0096168C">
        <w:t xml:space="preserve">and its </w:t>
      </w:r>
      <w:r w:rsidR="00A73801">
        <w:t>objective</w:t>
      </w:r>
      <w:r w:rsidR="0096168C">
        <w:t xml:space="preserve"> at c</w:t>
      </w:r>
      <w:r w:rsidR="00D12165">
        <w:t xml:space="preserve">lause 55.02-1.  </w:t>
      </w:r>
    </w:p>
    <w:p w:rsidR="005030EB" w:rsidRPr="005030EB" w:rsidRDefault="00A24E67" w:rsidP="005030EB">
      <w:pPr>
        <w:pStyle w:val="Heading2"/>
      </w:pPr>
      <w:r>
        <w:rPr>
          <w:shd w:val="clear" w:color="auto" w:fill="FFFFFF"/>
        </w:rPr>
        <w:t xml:space="preserve"> WHAT ARE THE tRIBUNAL’S FINDINGS ON OTHER MATTERS</w:t>
      </w:r>
      <w:r w:rsidR="005030EB">
        <w:rPr>
          <w:shd w:val="clear" w:color="auto" w:fill="FFFFFF"/>
        </w:rPr>
        <w:t>?</w:t>
      </w:r>
    </w:p>
    <w:p w:rsidR="00FB725F" w:rsidRDefault="004473FF" w:rsidP="00B70351">
      <w:pPr>
        <w:pStyle w:val="Para1"/>
        <w:ind w:right="-135"/>
      </w:pPr>
      <w:r>
        <w:t>Next I address o</w:t>
      </w:r>
      <w:r w:rsidR="008606F5">
        <w:t xml:space="preserve">ther matters raised in </w:t>
      </w:r>
      <w:r>
        <w:t xml:space="preserve">grounds, </w:t>
      </w:r>
      <w:r w:rsidR="008606F5">
        <w:t>submissions and evidence.</w:t>
      </w:r>
    </w:p>
    <w:p w:rsidR="00FE2FA6" w:rsidRDefault="00F775D7" w:rsidP="00FE2FA6">
      <w:pPr>
        <w:pStyle w:val="Heading3"/>
      </w:pPr>
      <w:r>
        <w:t>Visual bulk</w:t>
      </w:r>
      <w:r w:rsidR="000C16CD">
        <w:t xml:space="preserve"> to neighbours</w:t>
      </w:r>
    </w:p>
    <w:p w:rsidR="00F775D7" w:rsidRDefault="00F775D7" w:rsidP="002D2C47">
      <w:pPr>
        <w:pStyle w:val="Para1"/>
        <w:ind w:right="-135"/>
      </w:pPr>
      <w:r>
        <w:t xml:space="preserve">The Council </w:t>
      </w:r>
      <w:r w:rsidR="00FE2FA6">
        <w:t xml:space="preserve">submits the proposal would </w:t>
      </w:r>
      <w:r w:rsidR="000C16CD">
        <w:t>present</w:t>
      </w:r>
      <w:r w:rsidR="00FE2FA6">
        <w:t xml:space="preserve"> unreasonable visual bulk for adjacent properties, particularly to the rear, downslope.  It also considers </w:t>
      </w:r>
      <w:r>
        <w:t>Standard B17</w:t>
      </w:r>
      <w:r w:rsidR="00FE2FA6">
        <w:t xml:space="preserve"> is not fully met.   </w:t>
      </w:r>
      <w:r w:rsidR="008F2346">
        <w:t>Mr Bowden</w:t>
      </w:r>
      <w:r w:rsidR="00FE2FA6">
        <w:t xml:space="preserve"> disagrees and considers the proposal achieves an acceptable interface, mindful of the deep rear setback and stepped built form.</w:t>
      </w:r>
    </w:p>
    <w:p w:rsidR="00FE2FA6" w:rsidRDefault="00516923" w:rsidP="002D2C47">
      <w:pPr>
        <w:pStyle w:val="Para1"/>
        <w:ind w:right="-135"/>
      </w:pPr>
      <w:r>
        <w:t xml:space="preserve">Development on the properties to the east and west of the subject land is substantial in scale.  Land abutting the rear is relatively undeveloped and would be exposed to the three storey form of the proposed dwelling, albeit in a stepped manner.    The rear setback, with landscaping proposed in the landscape plan, would assist to </w:t>
      </w:r>
      <w:r w:rsidR="00774EB3">
        <w:t>ameliorate</w:t>
      </w:r>
      <w:r>
        <w:t xml:space="preserve"> this impact.</w:t>
      </w:r>
    </w:p>
    <w:p w:rsidR="00516923" w:rsidRDefault="00516923" w:rsidP="002D2C47">
      <w:pPr>
        <w:pStyle w:val="Para1"/>
        <w:ind w:right="-135"/>
      </w:pPr>
      <w:r>
        <w:t>To the extent that there is a non-compliance with Standard B17 along part of the eastern boundary, this could be modified if necessary</w:t>
      </w:r>
      <w:r w:rsidR="00310BE7">
        <w:t xml:space="preserve">.  Such a change would </w:t>
      </w:r>
      <w:r w:rsidR="008F2346">
        <w:t xml:space="preserve">have the necessary benefit of </w:t>
      </w:r>
      <w:r w:rsidR="00310BE7">
        <w:t>reduc</w:t>
      </w:r>
      <w:r w:rsidR="008F2346">
        <w:t>ing</w:t>
      </w:r>
      <w:r w:rsidR="00310BE7">
        <w:t xml:space="preserve"> the impact on the amenity of No. 10 Armstrong Street </w:t>
      </w:r>
      <w:r w:rsidR="008F2346">
        <w:t>with less</w:t>
      </w:r>
      <w:r w:rsidR="00310BE7">
        <w:t xml:space="preserve"> shadow</w:t>
      </w:r>
      <w:r w:rsidR="008F2346">
        <w:t>ing</w:t>
      </w:r>
      <w:r w:rsidR="00310BE7">
        <w:t xml:space="preserve"> to that property at 3pm.   If I had determined to grant a permit, having considered the decision guidelines and objective in clause 55.04-1, a permit condition could have required this</w:t>
      </w:r>
      <w:r w:rsidR="00E43BEF">
        <w:t xml:space="preserve"> </w:t>
      </w:r>
      <w:r w:rsidR="000C16CD">
        <w:t>part of the building</w:t>
      </w:r>
      <w:r w:rsidR="00E43BEF">
        <w:t xml:space="preserve"> to be modified</w:t>
      </w:r>
      <w:r w:rsidR="00310BE7">
        <w:t>.</w:t>
      </w:r>
    </w:p>
    <w:p w:rsidR="00516923" w:rsidRDefault="00516923" w:rsidP="00516923">
      <w:pPr>
        <w:pStyle w:val="Heading3"/>
      </w:pPr>
      <w:r>
        <w:t>Shadowing of solar panels</w:t>
      </w:r>
      <w:r w:rsidR="00633BBA">
        <w:t xml:space="preserve"> at No. 10A Armstrong Street</w:t>
      </w:r>
    </w:p>
    <w:p w:rsidR="00516923" w:rsidRDefault="00C6182F" w:rsidP="000C4527">
      <w:pPr>
        <w:pStyle w:val="Para1"/>
        <w:ind w:right="-135"/>
      </w:pPr>
      <w:r>
        <w:t xml:space="preserve">The proposal’s impact on solar panels on the eastern and northern roof of No. 10A Armstrong Street </w:t>
      </w:r>
      <w:r w:rsidR="000C16CD">
        <w:t>is</w:t>
      </w:r>
      <w:r>
        <w:t xml:space="preserve"> raised as an issue in the respondents’ statement of grounds.</w:t>
      </w:r>
      <w:r w:rsidR="00B60AA3">
        <w:t xml:space="preserve">  </w:t>
      </w:r>
      <w:r>
        <w:t xml:space="preserve">This is a relevant matter under clause </w:t>
      </w:r>
      <w:r w:rsidR="00B60AA3">
        <w:t>32.08-13</w:t>
      </w:r>
      <w:r w:rsidR="00516923">
        <w:t>.</w:t>
      </w:r>
      <w:r w:rsidR="00B60AA3">
        <w:t xml:space="preserve">  Planning Practice Note PPN88 </w:t>
      </w:r>
      <w:r w:rsidR="00B60AA3" w:rsidRPr="00633BBA">
        <w:rPr>
          <w:i/>
        </w:rPr>
        <w:t>Planning considerations for existing residential rooftop solar energy facilities</w:t>
      </w:r>
      <w:r w:rsidR="00B60AA3">
        <w:t xml:space="preserve"> assists </w:t>
      </w:r>
      <w:r w:rsidR="00774EB3">
        <w:t xml:space="preserve">my </w:t>
      </w:r>
      <w:r w:rsidR="00B60AA3">
        <w:t>consideration of this matter.</w:t>
      </w:r>
    </w:p>
    <w:p w:rsidR="00C6182F" w:rsidRDefault="00C6182F" w:rsidP="00516923">
      <w:pPr>
        <w:pStyle w:val="Para1"/>
        <w:ind w:right="-135"/>
      </w:pPr>
      <w:r>
        <w:t xml:space="preserve">The Council and applicant </w:t>
      </w:r>
      <w:r w:rsidR="0094421F">
        <w:t>submit</w:t>
      </w:r>
      <w:r>
        <w:t xml:space="preserve"> that the proposal will not have an unacceptable impact on the solar panels having regard to the shadow diagrams and section included in the application material.  </w:t>
      </w:r>
    </w:p>
    <w:p w:rsidR="00B60AA3" w:rsidRPr="00FB725F" w:rsidRDefault="00FC0079" w:rsidP="00516923">
      <w:pPr>
        <w:pStyle w:val="Para1"/>
        <w:ind w:right="-135"/>
      </w:pPr>
      <w:r>
        <w:t xml:space="preserve">I have </w:t>
      </w:r>
      <w:r w:rsidR="00774EB3">
        <w:t>no</w:t>
      </w:r>
      <w:r>
        <w:t xml:space="preserve"> information about the solar panel</w:t>
      </w:r>
      <w:r w:rsidR="00807FE8">
        <w:t xml:space="preserve"> array</w:t>
      </w:r>
      <w:r>
        <w:t xml:space="preserve"> on the western side of the roof of </w:t>
      </w:r>
      <w:r w:rsidR="002C358D">
        <w:t xml:space="preserve">No. 10A Armstrong Street other than to observe </w:t>
      </w:r>
      <w:r w:rsidR="00C21BC7">
        <w:t>its</w:t>
      </w:r>
      <w:r w:rsidR="002C358D">
        <w:t xml:space="preserve"> </w:t>
      </w:r>
      <w:r w:rsidR="00807FE8">
        <w:t xml:space="preserve">extent and </w:t>
      </w:r>
      <w:r w:rsidR="002C358D">
        <w:t xml:space="preserve">location.  Given the height of the panels, and shadowing information before me, it is unlikely that the proposal will have an unreasonable impact on the </w:t>
      </w:r>
      <w:r w:rsidR="00A0625D">
        <w:t xml:space="preserve">panels’ </w:t>
      </w:r>
      <w:r w:rsidR="002C358D">
        <w:t xml:space="preserve">performance. </w:t>
      </w:r>
    </w:p>
    <w:p w:rsidR="00FE2FA6" w:rsidRDefault="00633BBA" w:rsidP="00FE2FA6">
      <w:pPr>
        <w:pStyle w:val="Heading3"/>
      </w:pPr>
      <w:r>
        <w:br w:type="page"/>
      </w:r>
      <w:r w:rsidR="0076771C">
        <w:rPr>
          <w:noProof/>
          <w:lang w:eastAsia="en-AU"/>
        </w:rPr>
        <w:lastRenderedPageBreak/>
        <w:drawing>
          <wp:anchor distT="0" distB="0" distL="114300" distR="114300" simplePos="0" relativeHeight="251664384"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33" name="VCAT Seal14"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4"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FE2FA6">
        <w:t>Overlooking</w:t>
      </w:r>
      <w:r w:rsidR="000C16CD">
        <w:t xml:space="preserve"> to neighbours</w:t>
      </w:r>
    </w:p>
    <w:p w:rsidR="00FE2FA6" w:rsidRDefault="002C358D" w:rsidP="002D2C47">
      <w:pPr>
        <w:pStyle w:val="Para1"/>
        <w:ind w:right="-135"/>
      </w:pPr>
      <w:r>
        <w:t xml:space="preserve">The Council suggests screening is required to several windows in the development, to limit overlooking to abutting lots.  These include the rear </w:t>
      </w:r>
      <w:r w:rsidR="00E32013">
        <w:t>balconies</w:t>
      </w:r>
      <w:r>
        <w:t xml:space="preserve"> and east-facing kitchen and bedroom 4 windows.  Mr Bowden suggest</w:t>
      </w:r>
      <w:r w:rsidR="000C16CD">
        <w:t>s</w:t>
      </w:r>
      <w:r>
        <w:t xml:space="preserve"> a screen shown on the plans serving Unit 2’s dining room could be deleted.  Ms Kellock also refers to the west elevation of the development that has omitted a window for bedroom 1. Mr Bowden suggests this could be a highlight window.</w:t>
      </w:r>
    </w:p>
    <w:p w:rsidR="0094421F" w:rsidRDefault="002C358D" w:rsidP="002D2C47">
      <w:pPr>
        <w:pStyle w:val="Para1"/>
        <w:ind w:right="-135"/>
      </w:pPr>
      <w:r>
        <w:t>Having considered the decision guidelines and objective in clause 55.04-6, I find screening is required to the balconies and windows in issue.  I would not support removing the dining room screening.  While these matters could potential</w:t>
      </w:r>
      <w:r w:rsidR="00774EB3">
        <w:t>ly</w:t>
      </w:r>
      <w:r>
        <w:t xml:space="preserve"> be dealt with by permit conditions, a</w:t>
      </w:r>
      <w:r w:rsidR="0094421F">
        <w:t xml:space="preserve"> consequential</w:t>
      </w:r>
      <w:r>
        <w:t xml:space="preserve"> issue </w:t>
      </w:r>
      <w:r w:rsidR="0094421F">
        <w:t>is</w:t>
      </w:r>
      <w:r>
        <w:t xml:space="preserve"> the extent to which windows in the development would be screened.  </w:t>
      </w:r>
    </w:p>
    <w:p w:rsidR="00FE2FA6" w:rsidRDefault="002C358D" w:rsidP="00F95763">
      <w:pPr>
        <w:pStyle w:val="Para1"/>
        <w:ind w:right="-135"/>
      </w:pPr>
      <w:r>
        <w:t>I note the applicant’s submission referring to a preference to limit screening on the basis that the objective in clause 55.04-6 is met.</w:t>
      </w:r>
      <w:r w:rsidR="0094421F">
        <w:t xml:space="preserve"> </w:t>
      </w:r>
      <w:r>
        <w:t xml:space="preserve">If the applicant prefers to limit the amount of screening required in accordance with Standard B22 </w:t>
      </w:r>
      <w:r w:rsidR="0094421F">
        <w:t>I</w:t>
      </w:r>
      <w:r w:rsidR="00FD5FB2">
        <w:t xml:space="preserve"> suggest a</w:t>
      </w:r>
      <w:r>
        <w:t xml:space="preserve"> design </w:t>
      </w:r>
      <w:r w:rsidR="00FD5FB2">
        <w:t>response</w:t>
      </w:r>
      <w:r>
        <w:t xml:space="preserve"> be developed to </w:t>
      </w:r>
      <w:r w:rsidR="00FD5FB2">
        <w:t>find</w:t>
      </w:r>
      <w:r>
        <w:t xml:space="preserve"> more creative ways to position windows and design balconies such as through greater building articulation and/or setbacks.</w:t>
      </w:r>
    </w:p>
    <w:p w:rsidR="008606F5" w:rsidRDefault="008606F5" w:rsidP="00FE2FA6">
      <w:pPr>
        <w:pStyle w:val="Heading3"/>
      </w:pPr>
      <w:r>
        <w:t>Internal overlooking</w:t>
      </w:r>
    </w:p>
    <w:p w:rsidR="00FE2FA6" w:rsidRDefault="00B60AA3" w:rsidP="00B70351">
      <w:pPr>
        <w:pStyle w:val="Para1"/>
        <w:ind w:right="-135"/>
      </w:pPr>
      <w:r>
        <w:t xml:space="preserve">Standard B23 </w:t>
      </w:r>
      <w:r w:rsidR="002C358D">
        <w:t>of clause 55.0</w:t>
      </w:r>
      <w:r w:rsidR="00F7280B">
        <w:t>4-7</w:t>
      </w:r>
      <w:r w:rsidR="002C358D">
        <w:t xml:space="preserve"> </w:t>
      </w:r>
      <w:r w:rsidR="00FD5FB2">
        <w:t>states</w:t>
      </w:r>
      <w:r w:rsidR="002C358D">
        <w:t xml:space="preserve"> that w</w:t>
      </w:r>
      <w:r>
        <w:t>indows and balconies should be designed to prevent overlooking of more than 50</w:t>
      </w:r>
      <w:r w:rsidR="0094421F">
        <w:t xml:space="preserve">% </w:t>
      </w:r>
      <w:r>
        <w:t>of the secluded private open space of a lower-level dwelling or residential building directly below and within the same development</w:t>
      </w:r>
      <w:r w:rsidR="002C358D">
        <w:t xml:space="preserve">.  This does not appear to be met with respect to the rear </w:t>
      </w:r>
      <w:r w:rsidR="00E32013">
        <w:t>balconies</w:t>
      </w:r>
      <w:r w:rsidR="00F7280B">
        <w:t>, as discussed at the hearing</w:t>
      </w:r>
      <w:r w:rsidR="002C358D">
        <w:t>.</w:t>
      </w:r>
      <w:r w:rsidR="00F7280B">
        <w:t xml:space="preserve">  </w:t>
      </w:r>
    </w:p>
    <w:p w:rsidR="00FB725F" w:rsidRDefault="00F7280B" w:rsidP="00B70351">
      <w:pPr>
        <w:pStyle w:val="Para1"/>
        <w:ind w:right="-135"/>
      </w:pPr>
      <w:r>
        <w:t xml:space="preserve">The objective of clause 55.04-7 is to limit views into the secluded private open space and habitable room windows of dwellings and residential buildings within a development.  On my assessment, and having considered the decision guidelines, the balconies require </w:t>
      </w:r>
      <w:r w:rsidR="00A628FE">
        <w:t xml:space="preserve">various levels of </w:t>
      </w:r>
      <w:r>
        <w:t>screening</w:t>
      </w:r>
      <w:r w:rsidR="001426DC">
        <w:t xml:space="preserve"> to </w:t>
      </w:r>
      <w:r w:rsidR="00A628FE">
        <w:t xml:space="preserve">limit views to each other and </w:t>
      </w:r>
      <w:r w:rsidR="00774EB3">
        <w:t xml:space="preserve">to </w:t>
      </w:r>
      <w:r w:rsidR="00A628FE">
        <w:t xml:space="preserve">secluded private open space.  </w:t>
      </w:r>
      <w:r>
        <w:t>I agree with the applicant that there would be ways to do so while allowing outward views.</w:t>
      </w:r>
    </w:p>
    <w:p w:rsidR="00633BBA" w:rsidRDefault="00633BBA" w:rsidP="00633BBA">
      <w:pPr>
        <w:pStyle w:val="Heading3"/>
      </w:pPr>
      <w:r>
        <w:t>Shadowing of private open space within the development</w:t>
      </w:r>
    </w:p>
    <w:p w:rsidR="00633BBA" w:rsidRPr="00FB725F" w:rsidRDefault="00633BBA" w:rsidP="00633BBA">
      <w:pPr>
        <w:pStyle w:val="Para1"/>
        <w:ind w:right="-135"/>
      </w:pPr>
      <w:r>
        <w:t>The parties agree the proposal complies with Standard B29 with respect to the rear building setback.   I accept this is so.  However, the useable ground level rear open space for both proposed dwellings will experience considerable shadowing.  Landscaping occupies the area most exposed to sun.   The extent to which paved areas are shadowed throughout the day is apparent in the shadow diagrams.  There is a first floor balcony associated with the main living room in each unit which will enjoy an outlook but this is extensively shadowed as demonstrated in the shadow diagrams.</w:t>
      </w:r>
    </w:p>
    <w:p w:rsidR="00A37CE7" w:rsidRPr="00AC1973" w:rsidRDefault="008C4168" w:rsidP="00AC1973">
      <w:pPr>
        <w:pStyle w:val="Heading3"/>
      </w:pPr>
      <w:r>
        <w:rPr>
          <w:shd w:val="clear" w:color="auto" w:fill="FFFFFF"/>
        </w:rPr>
        <w:br w:type="page"/>
      </w:r>
      <w:r w:rsidR="0076771C">
        <w:rPr>
          <w:noProof/>
          <w:lang w:eastAsia="en-AU"/>
        </w:rPr>
        <w:lastRenderedPageBreak/>
        <w:drawing>
          <wp:anchor distT="0" distB="0" distL="114300" distR="114300" simplePos="0" relativeHeight="251665408" behindDoc="0" locked="0" layoutInCell="1" allowOverlap="1">
            <wp:simplePos x="0" y="0"/>
            <wp:positionH relativeFrom="page">
              <wp:posOffset>6227445</wp:posOffset>
            </wp:positionH>
            <wp:positionV relativeFrom="page">
              <wp:posOffset>9323705</wp:posOffset>
            </wp:positionV>
            <wp:extent cx="1056005" cy="1056005"/>
            <wp:effectExtent l="0" t="0" r="0" b="0"/>
            <wp:wrapNone/>
            <wp:docPr id="34" name="VCAT Seal15" descr="seal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 Seal15" descr="seal_black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pic:spPr>
                </pic:pic>
              </a:graphicData>
            </a:graphic>
            <wp14:sizeRelH relativeFrom="page">
              <wp14:pctWidth>0</wp14:pctWidth>
            </wp14:sizeRelH>
            <wp14:sizeRelV relativeFrom="page">
              <wp14:pctHeight>0</wp14:pctHeight>
            </wp14:sizeRelV>
          </wp:anchor>
        </w:drawing>
      </w:r>
      <w:r w:rsidR="00AC1973">
        <w:rPr>
          <w:shd w:val="clear" w:color="auto" w:fill="FFFFFF"/>
        </w:rPr>
        <w:t>Tree protection</w:t>
      </w:r>
    </w:p>
    <w:p w:rsidR="00FB725F" w:rsidRDefault="00774EB3" w:rsidP="002D2C47">
      <w:pPr>
        <w:pStyle w:val="Para1"/>
        <w:rPr>
          <w:color w:val="000000"/>
        </w:rPr>
      </w:pPr>
      <w:r>
        <w:rPr>
          <w:color w:val="000000"/>
        </w:rPr>
        <w:t>The</w:t>
      </w:r>
      <w:r w:rsidR="00AC1973" w:rsidRPr="00F7280B">
        <w:rPr>
          <w:color w:val="000000"/>
        </w:rPr>
        <w:t xml:space="preserve"> parties agree that the protection of trees on abutting properties can be addressed through permit conditions.</w:t>
      </w:r>
    </w:p>
    <w:p w:rsidR="0094421F" w:rsidRDefault="0094421F" w:rsidP="0094421F">
      <w:pPr>
        <w:pStyle w:val="Heading3"/>
      </w:pPr>
      <w:r>
        <w:t>Drainage</w:t>
      </w:r>
    </w:p>
    <w:p w:rsidR="0094421F" w:rsidRPr="00F7280B" w:rsidRDefault="0094421F" w:rsidP="002D2C47">
      <w:pPr>
        <w:pStyle w:val="Para1"/>
        <w:rPr>
          <w:color w:val="000000"/>
        </w:rPr>
      </w:pPr>
      <w:r>
        <w:rPr>
          <w:color w:val="000000"/>
        </w:rPr>
        <w:t>The respondents refer to the need for a permit condition relating to stormwater runoff/drainage for the Council’s approval.  This could have been required if a permit had been granted,</w:t>
      </w:r>
    </w:p>
    <w:p w:rsidR="00A50B36" w:rsidRDefault="00A50B36" w:rsidP="00A50B36">
      <w:pPr>
        <w:pStyle w:val="Heading2"/>
      </w:pPr>
      <w:r>
        <w:t>What is the Tribunal’s conclusion?</w:t>
      </w:r>
    </w:p>
    <w:p w:rsidR="004916D5" w:rsidRDefault="00D12165" w:rsidP="00A50B36">
      <w:pPr>
        <w:pStyle w:val="Para1"/>
        <w:ind w:right="-135"/>
      </w:pPr>
      <w:r>
        <w:t xml:space="preserve">For the above reasons, I will affirm the Responsible Authority’s decision.  </w:t>
      </w:r>
    </w:p>
    <w:p w:rsidR="00EB6E36" w:rsidRDefault="00EB6E36" w:rsidP="00A50B36">
      <w:pPr>
        <w:pStyle w:val="Para1"/>
        <w:ind w:right="-135"/>
      </w:pPr>
      <w:r>
        <w:t>I am not persuaded that the</w:t>
      </w:r>
      <w:r w:rsidR="001E0341">
        <w:t xml:space="preserve"> design response sufficiently respect</w:t>
      </w:r>
      <w:r>
        <w:t>s</w:t>
      </w:r>
      <w:r w:rsidR="001E0341">
        <w:t xml:space="preserve"> the neighbourhood character</w:t>
      </w:r>
      <w:r>
        <w:t xml:space="preserve"> </w:t>
      </w:r>
      <w:r w:rsidR="001E0341">
        <w:t xml:space="preserve">and </w:t>
      </w:r>
      <w:r w:rsidR="00021C4D">
        <w:t>it will</w:t>
      </w:r>
      <w:r w:rsidR="001E0341">
        <w:t xml:space="preserve"> not </w:t>
      </w:r>
      <w:r w:rsidR="00021C4D">
        <w:t xml:space="preserve">positively </w:t>
      </w:r>
      <w:r w:rsidR="001E0341">
        <w:t xml:space="preserve">contribute to the desired future character.  </w:t>
      </w:r>
      <w:r w:rsidR="00A0625D">
        <w:t>There are</w:t>
      </w:r>
      <w:r>
        <w:t xml:space="preserve"> some </w:t>
      </w:r>
      <w:r w:rsidR="00A0625D">
        <w:t>additional</w:t>
      </w:r>
      <w:r>
        <w:t xml:space="preserve"> issues </w:t>
      </w:r>
      <w:r w:rsidR="00A0625D">
        <w:t>relating to</w:t>
      </w:r>
      <w:r>
        <w:t xml:space="preserve"> the layout </w:t>
      </w:r>
      <w:r w:rsidR="00AC1973">
        <w:t xml:space="preserve">that </w:t>
      </w:r>
      <w:r w:rsidR="00021C4D">
        <w:t>require improvement</w:t>
      </w:r>
      <w:r w:rsidR="0094421F">
        <w:t>, notably shadowing of private open space within the development and the extent of screening</w:t>
      </w:r>
      <w:r w:rsidR="00A0625D">
        <w:t xml:space="preserve">.  Both </w:t>
      </w:r>
      <w:r w:rsidR="0094421F">
        <w:t xml:space="preserve">affect </w:t>
      </w:r>
      <w:r w:rsidR="00A0625D">
        <w:t xml:space="preserve">the level of </w:t>
      </w:r>
      <w:r w:rsidR="0094421F">
        <w:t>internal amenity</w:t>
      </w:r>
      <w:r w:rsidR="00A0625D">
        <w:t xml:space="preserve"> for the proposed dwellings</w:t>
      </w:r>
      <w:r w:rsidR="001E0341">
        <w:t xml:space="preserve">.  </w:t>
      </w:r>
    </w:p>
    <w:p w:rsidR="001E0341" w:rsidRDefault="00EB6E36" w:rsidP="00A50B36">
      <w:pPr>
        <w:pStyle w:val="Para1"/>
        <w:ind w:right="-135"/>
      </w:pPr>
      <w:r>
        <w:t xml:space="preserve">I have considered whether </w:t>
      </w:r>
      <w:r w:rsidR="00A24E67">
        <w:t xml:space="preserve">modifications could be made by permit conditions to overcome my concerns.  I have taken into account the applicant’s submission that the client wishes to proceed with the project as designed although changes could be made if felt necessary by the Tribunal.  </w:t>
      </w:r>
      <w:r w:rsidR="008606F5">
        <w:t xml:space="preserve"> </w:t>
      </w:r>
      <w:r w:rsidR="00021C4D">
        <w:t xml:space="preserve">While some matters could be addressed by permit conditions, </w:t>
      </w:r>
      <w:r w:rsidR="00F803EC">
        <w:t xml:space="preserve">the combination of </w:t>
      </w:r>
      <w:r w:rsidR="00021C4D">
        <w:t>c</w:t>
      </w:r>
      <w:r w:rsidR="008606F5">
        <w:t xml:space="preserve">hanges </w:t>
      </w:r>
      <w:r w:rsidR="00F803EC">
        <w:t>necessary</w:t>
      </w:r>
      <w:r w:rsidR="008606F5">
        <w:t xml:space="preserve"> would have consequen</w:t>
      </w:r>
      <w:r w:rsidR="00F803EC">
        <w:t>ces for</w:t>
      </w:r>
      <w:r w:rsidR="008606F5">
        <w:t xml:space="preserve"> the </w:t>
      </w:r>
      <w:r w:rsidR="00774EB3">
        <w:t>remainder</w:t>
      </w:r>
      <w:r w:rsidR="00F803EC">
        <w:t xml:space="preserve"> of the </w:t>
      </w:r>
      <w:r w:rsidR="008606F5">
        <w:t>development</w:t>
      </w:r>
      <w:r w:rsidR="00021C4D">
        <w:t>.  O</w:t>
      </w:r>
      <w:r w:rsidR="008606F5">
        <w:t xml:space="preserve">n balance, a fresh design </w:t>
      </w:r>
      <w:r w:rsidR="00AC1973">
        <w:t xml:space="preserve">response </w:t>
      </w:r>
      <w:r w:rsidR="008606F5">
        <w:t>is necessary.</w:t>
      </w:r>
      <w:r w:rsidR="009130FE">
        <w:t xml:space="preserve">  Therefore, no permit is granted.</w:t>
      </w:r>
    </w:p>
    <w:p w:rsidR="00512CFB" w:rsidRDefault="00512CFB" w:rsidP="00A50B36">
      <w:pPr>
        <w:pStyle w:val="Para1"/>
        <w:numPr>
          <w:ilvl w:val="0"/>
          <w:numId w:val="0"/>
        </w:numPr>
        <w:ind w:right="-135"/>
      </w:pPr>
    </w:p>
    <w:p w:rsidR="00E27F7A" w:rsidRDefault="00E27F7A" w:rsidP="00A50B36">
      <w:pPr>
        <w:pStyle w:val="Para1"/>
        <w:numPr>
          <w:ilvl w:val="0"/>
          <w:numId w:val="0"/>
        </w:numPr>
        <w:ind w:right="-135"/>
      </w:pPr>
    </w:p>
    <w:p w:rsidR="00A81E62" w:rsidRDefault="00A81E62" w:rsidP="00A50B36">
      <w:pPr>
        <w:pStyle w:val="Para1"/>
        <w:numPr>
          <w:ilvl w:val="0"/>
          <w:numId w:val="0"/>
        </w:numPr>
        <w:ind w:right="-135"/>
      </w:pPr>
    </w:p>
    <w:tbl>
      <w:tblPr>
        <w:tblW w:w="9108" w:type="dxa"/>
        <w:tblLayout w:type="fixed"/>
        <w:tblLook w:val="0000" w:firstRow="0" w:lastRow="0" w:firstColumn="0" w:lastColumn="0" w:noHBand="0" w:noVBand="0"/>
      </w:tblPr>
      <w:tblGrid>
        <w:gridCol w:w="2907"/>
        <w:gridCol w:w="2908"/>
        <w:gridCol w:w="3293"/>
      </w:tblGrid>
      <w:tr w:rsidR="00A50B36" w:rsidRPr="00441A34" w:rsidTr="00C36973">
        <w:tc>
          <w:tcPr>
            <w:tcW w:w="2907" w:type="dxa"/>
          </w:tcPr>
          <w:p w:rsidR="00A50B36" w:rsidRPr="00441A34" w:rsidRDefault="00A50B36" w:rsidP="00C36973">
            <w:pPr>
              <w:rPr>
                <w:b/>
              </w:rPr>
            </w:pPr>
            <w:r w:rsidRPr="00441A34">
              <w:rPr>
                <w:b/>
              </w:rPr>
              <w:t>Margaret Baird</w:t>
            </w:r>
          </w:p>
          <w:p w:rsidR="00A50B36" w:rsidRPr="00441A34" w:rsidRDefault="00A50B36" w:rsidP="00C36973">
            <w:pPr>
              <w:tabs>
                <w:tab w:val="left" w:pos="1515"/>
              </w:tabs>
              <w:rPr>
                <w:b/>
              </w:rPr>
            </w:pPr>
            <w:r w:rsidRPr="00441A34">
              <w:rPr>
                <w:b/>
              </w:rPr>
              <w:t>Senior Member</w:t>
            </w:r>
          </w:p>
        </w:tc>
        <w:tc>
          <w:tcPr>
            <w:tcW w:w="2908" w:type="dxa"/>
          </w:tcPr>
          <w:p w:rsidR="00A50B36" w:rsidRPr="00441A34" w:rsidRDefault="00A50B36" w:rsidP="00C36973">
            <w:pPr>
              <w:rPr>
                <w:b/>
              </w:rPr>
            </w:pPr>
          </w:p>
        </w:tc>
        <w:tc>
          <w:tcPr>
            <w:tcW w:w="3293" w:type="dxa"/>
          </w:tcPr>
          <w:p w:rsidR="00A50B36" w:rsidRPr="00441A34" w:rsidRDefault="00A50B36" w:rsidP="00C36973">
            <w:pPr>
              <w:rPr>
                <w:b/>
              </w:rPr>
            </w:pPr>
          </w:p>
        </w:tc>
      </w:tr>
    </w:tbl>
    <w:p w:rsidR="000E5A74" w:rsidRDefault="000E5A74" w:rsidP="00350AB3">
      <w:pPr>
        <w:pStyle w:val="Heading1"/>
        <w:spacing w:before="0" w:after="0"/>
        <w:jc w:val="left"/>
      </w:pPr>
    </w:p>
    <w:p w:rsidR="00C96CFB" w:rsidRDefault="00C96CFB" w:rsidP="00C96CFB">
      <w:pPr>
        <w:pStyle w:val="Para1"/>
        <w:numPr>
          <w:ilvl w:val="0"/>
          <w:numId w:val="0"/>
        </w:numPr>
        <w:ind w:left="567" w:hanging="567"/>
      </w:pPr>
    </w:p>
    <w:sectPr w:rsidR="00C96CFB" w:rsidSect="007F70B7">
      <w:footerReference w:type="default" r:id="rId11"/>
      <w:pgSz w:w="11907" w:h="16840" w:code="9"/>
      <w:pgMar w:top="1276" w:right="1701" w:bottom="993" w:left="1701" w:header="567"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02" w:rsidRDefault="00FD3F02">
      <w:r>
        <w:separator/>
      </w:r>
    </w:p>
  </w:endnote>
  <w:endnote w:type="continuationSeparator" w:id="0">
    <w:p w:rsidR="00FD3F02" w:rsidRDefault="00FD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A65E36" w:rsidRPr="00530B72" w:rsidTr="008F0F06">
      <w:trPr>
        <w:cantSplit/>
      </w:trPr>
      <w:tc>
        <w:tcPr>
          <w:tcW w:w="6774" w:type="dxa"/>
        </w:tcPr>
        <w:p w:rsidR="00A65E36" w:rsidRPr="00530B72" w:rsidRDefault="00A65E36" w:rsidP="00F3239C">
          <w:pPr>
            <w:pStyle w:val="Footer"/>
            <w:spacing w:before="144"/>
            <w:rPr>
              <w:sz w:val="16"/>
              <w:szCs w:val="16"/>
            </w:rPr>
          </w:pPr>
          <w:r w:rsidRPr="00530B72">
            <w:rPr>
              <w:sz w:val="16"/>
              <w:szCs w:val="16"/>
            </w:rPr>
            <w:t xml:space="preserve">VCAT Reference No. </w:t>
          </w:r>
          <w:r w:rsidR="00563C8C">
            <w:rPr>
              <w:sz w:val="16"/>
              <w:szCs w:val="16"/>
            </w:rPr>
            <w:t>P725/2018</w:t>
          </w:r>
        </w:p>
      </w:tc>
      <w:tc>
        <w:tcPr>
          <w:tcW w:w="2334" w:type="dxa"/>
        </w:tcPr>
        <w:p w:rsidR="00A65E36" w:rsidRPr="00530B72" w:rsidRDefault="00A65E36">
          <w:pPr>
            <w:pStyle w:val="Footer"/>
            <w:spacing w:before="144"/>
            <w:jc w:val="right"/>
            <w:rPr>
              <w:sz w:val="16"/>
              <w:szCs w:val="16"/>
            </w:rPr>
          </w:pPr>
          <w:r w:rsidRPr="00530B72">
            <w:rPr>
              <w:sz w:val="16"/>
              <w:szCs w:val="16"/>
            </w:rPr>
            <w:t xml:space="preserve">Page </w:t>
          </w:r>
          <w:r w:rsidRPr="00530B72">
            <w:rPr>
              <w:rStyle w:val="PageNumber"/>
              <w:sz w:val="16"/>
              <w:szCs w:val="16"/>
            </w:rPr>
            <w:fldChar w:fldCharType="begin"/>
          </w:r>
          <w:r w:rsidRPr="00530B72">
            <w:rPr>
              <w:rStyle w:val="PageNumber"/>
              <w:sz w:val="16"/>
              <w:szCs w:val="16"/>
            </w:rPr>
            <w:instrText xml:space="preserve"> PAGE </w:instrText>
          </w:r>
          <w:r w:rsidRPr="00530B72">
            <w:rPr>
              <w:rStyle w:val="PageNumber"/>
              <w:sz w:val="16"/>
              <w:szCs w:val="16"/>
            </w:rPr>
            <w:fldChar w:fldCharType="separate"/>
          </w:r>
          <w:r w:rsidR="0076771C">
            <w:rPr>
              <w:rStyle w:val="PageNumber"/>
              <w:noProof/>
              <w:sz w:val="16"/>
              <w:szCs w:val="16"/>
            </w:rPr>
            <w:t>4</w:t>
          </w:r>
          <w:r w:rsidRPr="00530B72">
            <w:rPr>
              <w:rStyle w:val="PageNumber"/>
              <w:sz w:val="16"/>
              <w:szCs w:val="16"/>
            </w:rPr>
            <w:fldChar w:fldCharType="end"/>
          </w:r>
          <w:r w:rsidRPr="00530B72">
            <w:rPr>
              <w:rStyle w:val="PageNumber"/>
              <w:sz w:val="16"/>
              <w:szCs w:val="16"/>
            </w:rPr>
            <w:t xml:space="preserve"> of </w:t>
          </w:r>
          <w:r w:rsidRPr="00530B72">
            <w:rPr>
              <w:rStyle w:val="PageNumber"/>
              <w:sz w:val="16"/>
              <w:szCs w:val="16"/>
            </w:rPr>
            <w:fldChar w:fldCharType="begin"/>
          </w:r>
          <w:r w:rsidRPr="00530B72">
            <w:rPr>
              <w:rStyle w:val="PageNumber"/>
              <w:sz w:val="16"/>
              <w:szCs w:val="16"/>
            </w:rPr>
            <w:instrText xml:space="preserve"> NUMPAGES </w:instrText>
          </w:r>
          <w:r w:rsidRPr="00530B72">
            <w:rPr>
              <w:rStyle w:val="PageNumber"/>
              <w:sz w:val="16"/>
              <w:szCs w:val="16"/>
            </w:rPr>
            <w:fldChar w:fldCharType="separate"/>
          </w:r>
          <w:r w:rsidR="0076771C">
            <w:rPr>
              <w:rStyle w:val="PageNumber"/>
              <w:noProof/>
              <w:sz w:val="16"/>
              <w:szCs w:val="16"/>
            </w:rPr>
            <w:t>15</w:t>
          </w:r>
          <w:r w:rsidRPr="00530B72">
            <w:rPr>
              <w:rStyle w:val="PageNumber"/>
              <w:sz w:val="16"/>
              <w:szCs w:val="16"/>
            </w:rPr>
            <w:fldChar w:fldCharType="end"/>
          </w:r>
        </w:p>
      </w:tc>
    </w:tr>
  </w:tbl>
  <w:p w:rsidR="00A65E36" w:rsidRDefault="00A65E36">
    <w:pPr>
      <w:pStyle w:val="Footer"/>
      <w:rPr>
        <w:sz w:val="2"/>
      </w:rPr>
    </w:pPr>
  </w:p>
  <w:p w:rsidR="00A65E36" w:rsidRDefault="00A65E36">
    <w:pPr>
      <w:rPr>
        <w:sz w:val="2"/>
      </w:rPr>
    </w:pPr>
  </w:p>
  <w:p w:rsidR="00A65E36" w:rsidRDefault="00A65E3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02" w:rsidRDefault="00FD3F02">
      <w:r>
        <w:separator/>
      </w:r>
    </w:p>
  </w:footnote>
  <w:footnote w:type="continuationSeparator" w:id="0">
    <w:p w:rsidR="00FD3F02" w:rsidRDefault="00FD3F02">
      <w:r>
        <w:continuationSeparator/>
      </w:r>
    </w:p>
  </w:footnote>
  <w:footnote w:id="1">
    <w:p w:rsidR="00A32E6F" w:rsidRPr="00F95763" w:rsidRDefault="00A32E6F" w:rsidP="00A32E6F">
      <w:pPr>
        <w:pStyle w:val="FootnoteText"/>
        <w:tabs>
          <w:tab w:val="left" w:pos="567"/>
        </w:tabs>
        <w:ind w:left="567" w:hanging="567"/>
        <w:rPr>
          <w:color w:val="000000"/>
        </w:rPr>
      </w:pPr>
      <w:r w:rsidRPr="00F95763">
        <w:rPr>
          <w:rStyle w:val="FootnoteReference"/>
          <w:color w:val="000000"/>
        </w:rPr>
        <w:footnoteRef/>
      </w:r>
      <w:r w:rsidRPr="00F95763">
        <w:rPr>
          <w:color w:val="000000"/>
        </w:rPr>
        <w:t xml:space="preserve"> </w:t>
      </w:r>
      <w:r w:rsidRPr="00F95763">
        <w:rPr>
          <w:color w:val="000000"/>
        </w:rPr>
        <w:tab/>
        <w:t xml:space="preserve">The land is within an area of Aboriginal heritage sensitivity.  The development of </w:t>
      </w:r>
      <w:r w:rsidR="007622DD" w:rsidRPr="00F95763">
        <w:rPr>
          <w:color w:val="000000"/>
        </w:rPr>
        <w:t>two</w:t>
      </w:r>
      <w:r w:rsidRPr="00F95763">
        <w:rPr>
          <w:color w:val="000000"/>
        </w:rPr>
        <w:t xml:space="preserve"> dwellings is </w:t>
      </w:r>
      <w:r w:rsidR="007622DD" w:rsidRPr="00F95763">
        <w:rPr>
          <w:color w:val="000000"/>
        </w:rPr>
        <w:t xml:space="preserve">not </w:t>
      </w:r>
      <w:r w:rsidRPr="00F95763">
        <w:rPr>
          <w:color w:val="000000"/>
        </w:rPr>
        <w:t xml:space="preserve">a high impact activity.  </w:t>
      </w:r>
      <w:r w:rsidR="007622DD" w:rsidRPr="00F95763">
        <w:rPr>
          <w:color w:val="000000"/>
        </w:rPr>
        <w:t>In addition, g</w:t>
      </w:r>
      <w:r w:rsidRPr="00F95763">
        <w:rPr>
          <w:color w:val="000000"/>
        </w:rPr>
        <w:t xml:space="preserve">iven the size of the site, the requirements of the </w:t>
      </w:r>
      <w:r w:rsidRPr="00F95763">
        <w:rPr>
          <w:i/>
          <w:color w:val="000000"/>
        </w:rPr>
        <w:t xml:space="preserve">Aboriginal Heritage Act 2006 </w:t>
      </w:r>
      <w:r w:rsidRPr="00F95763">
        <w:rPr>
          <w:color w:val="000000"/>
        </w:rPr>
        <w:t xml:space="preserve">and </w:t>
      </w:r>
      <w:r w:rsidRPr="00F95763">
        <w:rPr>
          <w:i/>
          <w:color w:val="000000"/>
        </w:rPr>
        <w:t>Aboriginal Heritage Regulations 2018</w:t>
      </w:r>
      <w:r w:rsidRPr="00F95763">
        <w:rPr>
          <w:color w:val="000000"/>
        </w:rPr>
        <w:t xml:space="preserve"> are not triggered.</w:t>
      </w:r>
    </w:p>
  </w:footnote>
  <w:footnote w:id="2">
    <w:p w:rsidR="00A65E36" w:rsidRPr="00F95763" w:rsidRDefault="00A65E36" w:rsidP="00283FC4">
      <w:pPr>
        <w:pStyle w:val="FootnoteText"/>
        <w:tabs>
          <w:tab w:val="left" w:pos="567"/>
        </w:tabs>
        <w:ind w:left="567" w:right="-495" w:hanging="540"/>
        <w:rPr>
          <w:color w:val="000000"/>
        </w:rPr>
      </w:pPr>
      <w:r w:rsidRPr="00F95763">
        <w:rPr>
          <w:rStyle w:val="FootnoteReference"/>
          <w:color w:val="000000"/>
        </w:rPr>
        <w:footnoteRef/>
      </w:r>
      <w:r w:rsidRPr="00F95763">
        <w:rPr>
          <w:color w:val="000000"/>
        </w:rPr>
        <w:t xml:space="preserve"> </w:t>
      </w:r>
      <w:r w:rsidRPr="00F95763">
        <w:rPr>
          <w:color w:val="000000"/>
        </w:rPr>
        <w:tab/>
        <w:t>I have considered the submissions of all parties, all written and oral evidence, all exhibits tendered by the parties, and all statements of grounds filed.  I do not recite or refer to all of the contents of those documents in these reasons.</w:t>
      </w:r>
      <w:r w:rsidR="00E26F59" w:rsidRPr="00F95763">
        <w:rPr>
          <w:color w:val="000000"/>
        </w:rPr>
        <w:t xml:space="preserve">  Orders to substitute plans were made at a Practice Day Hearing.</w:t>
      </w:r>
    </w:p>
  </w:footnote>
  <w:footnote w:id="3">
    <w:p w:rsidR="00F74E15" w:rsidRPr="00F95763" w:rsidRDefault="00F74E15">
      <w:pPr>
        <w:pStyle w:val="FootnoteText"/>
        <w:rPr>
          <w:color w:val="000000"/>
          <w:lang w:val="en-US"/>
        </w:rPr>
      </w:pPr>
      <w:r w:rsidRPr="00F95763">
        <w:rPr>
          <w:rStyle w:val="FootnoteReference"/>
          <w:color w:val="000000"/>
        </w:rPr>
        <w:footnoteRef/>
      </w:r>
      <w:r w:rsidRPr="00F95763">
        <w:rPr>
          <w:color w:val="000000"/>
        </w:rPr>
        <w:t xml:space="preserve"> </w:t>
      </w:r>
      <w:r w:rsidRPr="00F95763">
        <w:rPr>
          <w:color w:val="000000"/>
          <w:lang w:val="en-US"/>
        </w:rPr>
        <w:tab/>
      </w:r>
      <w:r w:rsidRPr="00F95763">
        <w:rPr>
          <w:color w:val="000000"/>
          <w:lang w:val="en-US"/>
        </w:rPr>
        <w:tab/>
      </w:r>
      <w:r w:rsidRPr="00F95763">
        <w:rPr>
          <w:i/>
          <w:color w:val="000000"/>
          <w:spacing w:val="-5"/>
        </w:rPr>
        <w:t>Be v Monash CC</w:t>
      </w:r>
      <w:r w:rsidRPr="00F95763">
        <w:rPr>
          <w:color w:val="000000"/>
          <w:spacing w:val="-5"/>
        </w:rPr>
        <w:t xml:space="preserve"> [2012] VCAT 919, [2</w:t>
      </w:r>
      <w:r w:rsidR="00CE75EB" w:rsidRPr="00F95763">
        <w:rPr>
          <w:color w:val="000000"/>
          <w:spacing w:val="-5"/>
        </w:rPr>
        <w:t>1</w:t>
      </w:r>
      <w:r w:rsidRPr="00F95763">
        <w:rPr>
          <w:color w:val="000000"/>
          <w:spacing w:val="-5"/>
        </w:rPr>
        <w:t>].</w:t>
      </w:r>
    </w:p>
  </w:footnote>
  <w:footnote w:id="4">
    <w:p w:rsidR="00CE75EB" w:rsidRPr="00F95763" w:rsidRDefault="00CE75EB" w:rsidP="00CE75EB">
      <w:pPr>
        <w:pStyle w:val="FootnoteText"/>
        <w:rPr>
          <w:color w:val="000000"/>
          <w:lang w:val="en-US"/>
        </w:rPr>
      </w:pPr>
      <w:r w:rsidRPr="00F95763">
        <w:rPr>
          <w:rStyle w:val="FootnoteReference"/>
          <w:color w:val="000000"/>
        </w:rPr>
        <w:footnoteRef/>
      </w:r>
      <w:r w:rsidRPr="00F95763">
        <w:rPr>
          <w:color w:val="000000"/>
        </w:rPr>
        <w:t xml:space="preserve"> </w:t>
      </w:r>
      <w:r w:rsidRPr="00F95763">
        <w:rPr>
          <w:color w:val="000000"/>
          <w:lang w:val="en-US"/>
        </w:rPr>
        <w:tab/>
      </w:r>
      <w:r w:rsidRPr="00F95763">
        <w:rPr>
          <w:color w:val="000000"/>
          <w:lang w:val="en-US"/>
        </w:rPr>
        <w:tab/>
      </w:r>
      <w:r w:rsidRPr="00F95763">
        <w:rPr>
          <w:i/>
          <w:color w:val="000000"/>
          <w:spacing w:val="-5"/>
        </w:rPr>
        <w:t>Be v Monash CC</w:t>
      </w:r>
      <w:r w:rsidRPr="00F95763">
        <w:rPr>
          <w:color w:val="000000"/>
          <w:spacing w:val="-5"/>
        </w:rPr>
        <w:t xml:space="preserve"> [2012] VCAT 919, [25].</w:t>
      </w:r>
    </w:p>
  </w:footnote>
  <w:footnote w:id="5">
    <w:p w:rsidR="00E57B94" w:rsidRPr="00F95763" w:rsidRDefault="00E57B94" w:rsidP="00E57B94">
      <w:pPr>
        <w:pStyle w:val="FootnoteText"/>
        <w:rPr>
          <w:color w:val="000000"/>
          <w:lang w:val="en-US"/>
        </w:rPr>
      </w:pPr>
      <w:r w:rsidRPr="00F95763">
        <w:rPr>
          <w:rStyle w:val="FootnoteReference"/>
          <w:color w:val="000000"/>
        </w:rPr>
        <w:footnoteRef/>
      </w:r>
      <w:r w:rsidRPr="00F95763">
        <w:rPr>
          <w:color w:val="000000"/>
        </w:rPr>
        <w:t xml:space="preserve"> </w:t>
      </w:r>
      <w:r w:rsidRPr="00F95763">
        <w:rPr>
          <w:color w:val="000000"/>
          <w:lang w:val="en-US"/>
        </w:rPr>
        <w:tab/>
      </w:r>
      <w:r w:rsidRPr="00F95763">
        <w:rPr>
          <w:color w:val="000000"/>
          <w:lang w:val="en-US"/>
        </w:rPr>
        <w:tab/>
      </w:r>
      <w:r w:rsidRPr="00F95763">
        <w:rPr>
          <w:i/>
          <w:color w:val="000000"/>
          <w:spacing w:val="-5"/>
        </w:rPr>
        <w:t>Be v Monash CC</w:t>
      </w:r>
      <w:r w:rsidRPr="00F95763">
        <w:rPr>
          <w:color w:val="000000"/>
          <w:spacing w:val="-5"/>
        </w:rPr>
        <w:t xml:space="preserve"> [2012] VCAT 919, [22].</w:t>
      </w:r>
    </w:p>
  </w:footnote>
  <w:footnote w:id="6">
    <w:p w:rsidR="00EE6270" w:rsidRPr="00F95763" w:rsidRDefault="00EE6270" w:rsidP="00EE6270">
      <w:pPr>
        <w:pStyle w:val="FootnoteText"/>
        <w:ind w:left="567" w:hanging="567"/>
        <w:rPr>
          <w:color w:val="000000"/>
        </w:rPr>
      </w:pPr>
      <w:r w:rsidRPr="00F95763">
        <w:rPr>
          <w:rStyle w:val="FootnoteReference"/>
          <w:color w:val="000000"/>
        </w:rPr>
        <w:footnoteRef/>
      </w:r>
      <w:r w:rsidRPr="00F95763">
        <w:rPr>
          <w:color w:val="000000"/>
        </w:rPr>
        <w:t xml:space="preserve"> </w:t>
      </w:r>
      <w:r w:rsidRPr="00F95763">
        <w:rPr>
          <w:color w:val="000000"/>
        </w:rPr>
        <w:tab/>
        <w:t xml:space="preserve">Consistent with clause 11.02-1S.  There are no </w:t>
      </w:r>
      <w:r w:rsidR="00475F0C" w:rsidRPr="00F95763">
        <w:rPr>
          <w:color w:val="000000"/>
        </w:rPr>
        <w:t xml:space="preserve">other </w:t>
      </w:r>
      <w:r w:rsidRPr="00F95763">
        <w:rPr>
          <w:color w:val="000000"/>
        </w:rPr>
        <w:t xml:space="preserve">constraints </w:t>
      </w:r>
      <w:r w:rsidR="0094421F" w:rsidRPr="00F95763">
        <w:rPr>
          <w:color w:val="000000"/>
        </w:rPr>
        <w:t>of the type</w:t>
      </w:r>
      <w:r w:rsidR="00475F0C" w:rsidRPr="00F95763">
        <w:rPr>
          <w:color w:val="000000"/>
        </w:rPr>
        <w:t xml:space="preserve"> set out in the clause</w:t>
      </w:r>
      <w:r w:rsidRPr="00F95763">
        <w:rPr>
          <w:color w:val="000000"/>
        </w:rPr>
        <w:t>.</w:t>
      </w:r>
    </w:p>
  </w:footnote>
  <w:footnote w:id="7">
    <w:p w:rsidR="00907479" w:rsidRPr="00F95763" w:rsidRDefault="00907479" w:rsidP="00907479">
      <w:pPr>
        <w:pStyle w:val="FootnoteText"/>
        <w:ind w:left="567" w:hanging="567"/>
        <w:rPr>
          <w:color w:val="000000"/>
          <w:sz w:val="18"/>
          <w:szCs w:val="18"/>
        </w:rPr>
      </w:pPr>
      <w:r w:rsidRPr="00F95763">
        <w:rPr>
          <w:rStyle w:val="FootnoteReference"/>
          <w:color w:val="000000"/>
          <w:sz w:val="18"/>
          <w:szCs w:val="18"/>
        </w:rPr>
        <w:footnoteRef/>
      </w:r>
      <w:r w:rsidRPr="00F95763">
        <w:rPr>
          <w:color w:val="000000"/>
          <w:sz w:val="18"/>
          <w:szCs w:val="18"/>
        </w:rPr>
        <w:t xml:space="preserve"> </w:t>
      </w:r>
      <w:r w:rsidRPr="00F95763">
        <w:rPr>
          <w:color w:val="000000"/>
          <w:sz w:val="18"/>
          <w:szCs w:val="18"/>
        </w:rPr>
        <w:tab/>
        <w:t>Clause 22.01.</w:t>
      </w:r>
    </w:p>
  </w:footnote>
  <w:footnote w:id="8">
    <w:p w:rsidR="0094421F" w:rsidRPr="0094421F" w:rsidRDefault="0094421F" w:rsidP="0094421F">
      <w:pPr>
        <w:pStyle w:val="FootnoteText"/>
        <w:tabs>
          <w:tab w:val="left" w:pos="567"/>
        </w:tabs>
        <w:ind w:left="567" w:hanging="567"/>
        <w:rPr>
          <w:color w:val="000000"/>
        </w:rPr>
      </w:pPr>
      <w:r w:rsidRPr="0094421F">
        <w:rPr>
          <w:rStyle w:val="FootnoteReference"/>
          <w:color w:val="000000"/>
        </w:rPr>
        <w:footnoteRef/>
      </w:r>
      <w:r w:rsidRPr="0094421F">
        <w:rPr>
          <w:color w:val="000000"/>
        </w:rPr>
        <w:t xml:space="preserve"> </w:t>
      </w:r>
      <w:r w:rsidRPr="0094421F">
        <w:rPr>
          <w:color w:val="000000"/>
        </w:rPr>
        <w:tab/>
        <w:t xml:space="preserve">Clause 22.13 is a </w:t>
      </w:r>
      <w:r w:rsidR="002E566D">
        <w:rPr>
          <w:color w:val="000000"/>
        </w:rPr>
        <w:t xml:space="preserve">relevant </w:t>
      </w:r>
      <w:r w:rsidRPr="0094421F">
        <w:rPr>
          <w:color w:val="000000"/>
        </w:rPr>
        <w:t>policy relating to environmental sustainability.  The proposal is not of the type listed in Table 1.</w:t>
      </w:r>
      <w:r w:rsidR="002E566D">
        <w:rPr>
          <w:color w:val="000000"/>
        </w:rPr>
        <w:t xml:space="preserve">  </w:t>
      </w:r>
    </w:p>
  </w:footnote>
  <w:footnote w:id="9">
    <w:p w:rsidR="00973249" w:rsidRPr="00F95763" w:rsidRDefault="00973249" w:rsidP="00973249">
      <w:pPr>
        <w:pStyle w:val="FootnoteText"/>
        <w:rPr>
          <w:color w:val="000000"/>
          <w:lang w:val="en-US"/>
        </w:rPr>
      </w:pPr>
      <w:r w:rsidRPr="00F95763">
        <w:rPr>
          <w:rStyle w:val="FootnoteReference"/>
          <w:color w:val="000000"/>
        </w:rPr>
        <w:footnoteRef/>
      </w:r>
      <w:r w:rsidRPr="00F95763">
        <w:rPr>
          <w:color w:val="000000"/>
        </w:rPr>
        <w:t xml:space="preserve"> </w:t>
      </w:r>
      <w:r w:rsidRPr="00F95763">
        <w:rPr>
          <w:color w:val="000000"/>
          <w:lang w:val="en-US"/>
        </w:rPr>
        <w:tab/>
      </w:r>
      <w:r w:rsidRPr="00F95763">
        <w:rPr>
          <w:color w:val="000000"/>
          <w:lang w:val="en-US"/>
        </w:rPr>
        <w:tab/>
      </w:r>
      <w:r w:rsidRPr="00F95763">
        <w:rPr>
          <w:i/>
          <w:color w:val="000000"/>
          <w:spacing w:val="-5"/>
        </w:rPr>
        <w:t>Be v Monash CC</w:t>
      </w:r>
      <w:r w:rsidRPr="00F95763">
        <w:rPr>
          <w:color w:val="000000"/>
          <w:spacing w:val="-5"/>
        </w:rPr>
        <w:t xml:space="preserve"> [2012] VCAT 919, [23] – [25].</w:t>
      </w:r>
    </w:p>
  </w:footnote>
  <w:footnote w:id="10">
    <w:p w:rsidR="00A175D5" w:rsidRPr="00F95763" w:rsidRDefault="00A175D5" w:rsidP="00A175D5">
      <w:pPr>
        <w:pStyle w:val="FootnoteText"/>
        <w:rPr>
          <w:color w:val="000000"/>
          <w:lang w:val="en-US"/>
        </w:rPr>
      </w:pPr>
      <w:r w:rsidRPr="00F95763">
        <w:rPr>
          <w:rStyle w:val="FootnoteReference"/>
          <w:color w:val="000000"/>
        </w:rPr>
        <w:footnoteRef/>
      </w:r>
      <w:r w:rsidRPr="00F95763">
        <w:rPr>
          <w:color w:val="000000"/>
        </w:rPr>
        <w:t xml:space="preserve"> </w:t>
      </w:r>
      <w:r w:rsidRPr="00F95763">
        <w:rPr>
          <w:color w:val="000000"/>
          <w:lang w:val="en-US"/>
        </w:rPr>
        <w:tab/>
      </w:r>
      <w:r w:rsidRPr="00F95763">
        <w:rPr>
          <w:color w:val="000000"/>
          <w:lang w:val="en-US"/>
        </w:rPr>
        <w:tab/>
      </w:r>
      <w:r w:rsidRPr="00F95763">
        <w:rPr>
          <w:i/>
          <w:color w:val="000000"/>
          <w:spacing w:val="-5"/>
        </w:rPr>
        <w:t>Be v Monash CC</w:t>
      </w:r>
      <w:r w:rsidRPr="00F95763">
        <w:rPr>
          <w:color w:val="000000"/>
          <w:spacing w:val="-5"/>
        </w:rPr>
        <w:t xml:space="preserve"> [2012] VCAT 919, [</w:t>
      </w:r>
      <w:r w:rsidR="00AE1F84" w:rsidRPr="00F95763">
        <w:rPr>
          <w:color w:val="000000"/>
          <w:spacing w:val="-5"/>
        </w:rPr>
        <w:t>30] and [31]</w:t>
      </w:r>
      <w:r w:rsidRPr="00F95763">
        <w:rPr>
          <w:color w:val="000000"/>
          <w:spacing w:val="-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B3C"/>
    <w:multiLevelType w:val="multilevel"/>
    <w:tmpl w:val="6CB2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81283"/>
    <w:multiLevelType w:val="hybridMultilevel"/>
    <w:tmpl w:val="E05CEAF0"/>
    <w:lvl w:ilvl="0" w:tplc="A11C573C">
      <w:start w:val="1"/>
      <w:numFmt w:val="decimal"/>
      <w:pStyle w:val="Para1"/>
      <w:lvlText w:val="%1"/>
      <w:lvlJc w:val="left"/>
      <w:pPr>
        <w:tabs>
          <w:tab w:val="num" w:pos="567"/>
        </w:tabs>
        <w:ind w:left="567" w:hanging="567"/>
      </w:pPr>
      <w:rPr>
        <w:rFonts w:hint="default"/>
      </w:rPr>
    </w:lvl>
    <w:lvl w:ilvl="1" w:tplc="F63E3F36">
      <w:start w:val="1"/>
      <w:numFmt w:val="lowerLetter"/>
      <w:lvlText w:val="%2."/>
      <w:lvlJc w:val="left"/>
      <w:pPr>
        <w:tabs>
          <w:tab w:val="num" w:pos="1440"/>
        </w:tabs>
        <w:ind w:left="1440" w:hanging="360"/>
      </w:pPr>
    </w:lvl>
    <w:lvl w:ilvl="2" w:tplc="8364FB22" w:tentative="1">
      <w:start w:val="1"/>
      <w:numFmt w:val="lowerRoman"/>
      <w:lvlText w:val="%3."/>
      <w:lvlJc w:val="right"/>
      <w:pPr>
        <w:tabs>
          <w:tab w:val="num" w:pos="2160"/>
        </w:tabs>
        <w:ind w:left="2160" w:hanging="180"/>
      </w:pPr>
    </w:lvl>
    <w:lvl w:ilvl="3" w:tplc="F176D938" w:tentative="1">
      <w:start w:val="1"/>
      <w:numFmt w:val="decimal"/>
      <w:lvlText w:val="%4."/>
      <w:lvlJc w:val="left"/>
      <w:pPr>
        <w:tabs>
          <w:tab w:val="num" w:pos="2880"/>
        </w:tabs>
        <w:ind w:left="2880" w:hanging="360"/>
      </w:pPr>
    </w:lvl>
    <w:lvl w:ilvl="4" w:tplc="CE426152" w:tentative="1">
      <w:start w:val="1"/>
      <w:numFmt w:val="lowerLetter"/>
      <w:lvlText w:val="%5."/>
      <w:lvlJc w:val="left"/>
      <w:pPr>
        <w:tabs>
          <w:tab w:val="num" w:pos="3600"/>
        </w:tabs>
        <w:ind w:left="3600" w:hanging="360"/>
      </w:pPr>
    </w:lvl>
    <w:lvl w:ilvl="5" w:tplc="EDB82BC4" w:tentative="1">
      <w:start w:val="1"/>
      <w:numFmt w:val="lowerRoman"/>
      <w:lvlText w:val="%6."/>
      <w:lvlJc w:val="right"/>
      <w:pPr>
        <w:tabs>
          <w:tab w:val="num" w:pos="4320"/>
        </w:tabs>
        <w:ind w:left="4320" w:hanging="180"/>
      </w:pPr>
    </w:lvl>
    <w:lvl w:ilvl="6" w:tplc="760296F0" w:tentative="1">
      <w:start w:val="1"/>
      <w:numFmt w:val="decimal"/>
      <w:lvlText w:val="%7."/>
      <w:lvlJc w:val="left"/>
      <w:pPr>
        <w:tabs>
          <w:tab w:val="num" w:pos="5040"/>
        </w:tabs>
        <w:ind w:left="5040" w:hanging="360"/>
      </w:pPr>
    </w:lvl>
    <w:lvl w:ilvl="7" w:tplc="E6BC6F82" w:tentative="1">
      <w:start w:val="1"/>
      <w:numFmt w:val="lowerLetter"/>
      <w:lvlText w:val="%8."/>
      <w:lvlJc w:val="left"/>
      <w:pPr>
        <w:tabs>
          <w:tab w:val="num" w:pos="5760"/>
        </w:tabs>
        <w:ind w:left="5760" w:hanging="360"/>
      </w:pPr>
    </w:lvl>
    <w:lvl w:ilvl="8" w:tplc="701E9480"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3B2C5BDA">
      <w:start w:val="1"/>
      <w:numFmt w:val="lowerLetter"/>
      <w:pStyle w:val="Para4"/>
      <w:lvlText w:val="%1"/>
      <w:lvlJc w:val="left"/>
      <w:pPr>
        <w:tabs>
          <w:tab w:val="num" w:pos="1134"/>
        </w:tabs>
        <w:ind w:left="1134" w:hanging="567"/>
      </w:pPr>
      <w:rPr>
        <w:rFonts w:hint="default"/>
      </w:rPr>
    </w:lvl>
    <w:lvl w:ilvl="1" w:tplc="360E193A">
      <w:start w:val="1"/>
      <w:numFmt w:val="bullet"/>
      <w:lvlText w:val=""/>
      <w:lvlJc w:val="left"/>
      <w:pPr>
        <w:tabs>
          <w:tab w:val="num" w:pos="1134"/>
        </w:tabs>
        <w:ind w:left="1134" w:hanging="567"/>
      </w:pPr>
      <w:rPr>
        <w:rFonts w:ascii="Symbol" w:hAnsi="Symbol" w:hint="default"/>
      </w:rPr>
    </w:lvl>
    <w:lvl w:ilvl="2" w:tplc="15DE5CE4" w:tentative="1">
      <w:start w:val="1"/>
      <w:numFmt w:val="lowerRoman"/>
      <w:lvlText w:val="%3."/>
      <w:lvlJc w:val="right"/>
      <w:pPr>
        <w:tabs>
          <w:tab w:val="num" w:pos="2160"/>
        </w:tabs>
        <w:ind w:left="2160" w:hanging="180"/>
      </w:pPr>
    </w:lvl>
    <w:lvl w:ilvl="3" w:tplc="2AD0FC06" w:tentative="1">
      <w:start w:val="1"/>
      <w:numFmt w:val="decimal"/>
      <w:lvlText w:val="%4."/>
      <w:lvlJc w:val="left"/>
      <w:pPr>
        <w:tabs>
          <w:tab w:val="num" w:pos="2880"/>
        </w:tabs>
        <w:ind w:left="2880" w:hanging="360"/>
      </w:pPr>
    </w:lvl>
    <w:lvl w:ilvl="4" w:tplc="3EFA7D04">
      <w:start w:val="1"/>
      <w:numFmt w:val="lowerLetter"/>
      <w:pStyle w:val="Para4"/>
      <w:lvlText w:val="%5."/>
      <w:lvlJc w:val="left"/>
      <w:pPr>
        <w:tabs>
          <w:tab w:val="num" w:pos="1134"/>
        </w:tabs>
        <w:ind w:left="1134" w:hanging="567"/>
      </w:pPr>
      <w:rPr>
        <w:rFonts w:hint="default"/>
      </w:rPr>
    </w:lvl>
    <w:lvl w:ilvl="5" w:tplc="66622CA6" w:tentative="1">
      <w:start w:val="1"/>
      <w:numFmt w:val="lowerRoman"/>
      <w:lvlText w:val="%6."/>
      <w:lvlJc w:val="right"/>
      <w:pPr>
        <w:tabs>
          <w:tab w:val="num" w:pos="4320"/>
        </w:tabs>
        <w:ind w:left="4320" w:hanging="180"/>
      </w:pPr>
    </w:lvl>
    <w:lvl w:ilvl="6" w:tplc="4D589926" w:tentative="1">
      <w:start w:val="1"/>
      <w:numFmt w:val="decimal"/>
      <w:lvlText w:val="%7."/>
      <w:lvlJc w:val="left"/>
      <w:pPr>
        <w:tabs>
          <w:tab w:val="num" w:pos="5040"/>
        </w:tabs>
        <w:ind w:left="5040" w:hanging="360"/>
      </w:pPr>
    </w:lvl>
    <w:lvl w:ilvl="7" w:tplc="DE88A66A" w:tentative="1">
      <w:start w:val="1"/>
      <w:numFmt w:val="lowerLetter"/>
      <w:lvlText w:val="%8."/>
      <w:lvlJc w:val="left"/>
      <w:pPr>
        <w:tabs>
          <w:tab w:val="num" w:pos="5760"/>
        </w:tabs>
        <w:ind w:left="5760" w:hanging="360"/>
      </w:pPr>
    </w:lvl>
    <w:lvl w:ilvl="8" w:tplc="A7144016" w:tentative="1">
      <w:start w:val="1"/>
      <w:numFmt w:val="lowerRoman"/>
      <w:lvlText w:val="%9."/>
      <w:lvlJc w:val="right"/>
      <w:pPr>
        <w:tabs>
          <w:tab w:val="num" w:pos="6480"/>
        </w:tabs>
        <w:ind w:left="6480" w:hanging="180"/>
      </w:pPr>
    </w:lvl>
  </w:abstractNum>
  <w:abstractNum w:abstractNumId="4" w15:restartNumberingAfterBreak="0">
    <w:nsid w:val="0F3E66B6"/>
    <w:multiLevelType w:val="hybridMultilevel"/>
    <w:tmpl w:val="F3BC16DE"/>
    <w:lvl w:ilvl="0" w:tplc="0C090001">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BC08D44" w:tentative="1">
      <w:start w:val="1"/>
      <w:numFmt w:val="lowerRoman"/>
      <w:lvlText w:val="%3."/>
      <w:lvlJc w:val="right"/>
      <w:pPr>
        <w:tabs>
          <w:tab w:val="num" w:pos="2160"/>
        </w:tabs>
        <w:ind w:left="2160" w:hanging="180"/>
      </w:pPr>
    </w:lvl>
    <w:lvl w:ilvl="3" w:tplc="02361DB2" w:tentative="1">
      <w:start w:val="1"/>
      <w:numFmt w:val="decimal"/>
      <w:lvlText w:val="%4."/>
      <w:lvlJc w:val="left"/>
      <w:pPr>
        <w:tabs>
          <w:tab w:val="num" w:pos="2880"/>
        </w:tabs>
        <w:ind w:left="2880" w:hanging="360"/>
      </w:pPr>
    </w:lvl>
    <w:lvl w:ilvl="4" w:tplc="7D84CFAA" w:tentative="1">
      <w:start w:val="1"/>
      <w:numFmt w:val="lowerLetter"/>
      <w:lvlText w:val="%5."/>
      <w:lvlJc w:val="left"/>
      <w:pPr>
        <w:tabs>
          <w:tab w:val="num" w:pos="3600"/>
        </w:tabs>
        <w:ind w:left="3600" w:hanging="360"/>
      </w:pPr>
    </w:lvl>
    <w:lvl w:ilvl="5" w:tplc="49E664E6" w:tentative="1">
      <w:start w:val="1"/>
      <w:numFmt w:val="lowerRoman"/>
      <w:lvlText w:val="%6."/>
      <w:lvlJc w:val="right"/>
      <w:pPr>
        <w:tabs>
          <w:tab w:val="num" w:pos="4320"/>
        </w:tabs>
        <w:ind w:left="4320" w:hanging="180"/>
      </w:pPr>
    </w:lvl>
    <w:lvl w:ilvl="6" w:tplc="5E205A1C" w:tentative="1">
      <w:start w:val="1"/>
      <w:numFmt w:val="decimal"/>
      <w:lvlText w:val="%7."/>
      <w:lvlJc w:val="left"/>
      <w:pPr>
        <w:tabs>
          <w:tab w:val="num" w:pos="5040"/>
        </w:tabs>
        <w:ind w:left="5040" w:hanging="360"/>
      </w:pPr>
    </w:lvl>
    <w:lvl w:ilvl="7" w:tplc="782830E8" w:tentative="1">
      <w:start w:val="1"/>
      <w:numFmt w:val="lowerLetter"/>
      <w:lvlText w:val="%8."/>
      <w:lvlJc w:val="left"/>
      <w:pPr>
        <w:tabs>
          <w:tab w:val="num" w:pos="5760"/>
        </w:tabs>
        <w:ind w:left="5760" w:hanging="360"/>
      </w:pPr>
    </w:lvl>
    <w:lvl w:ilvl="8" w:tplc="8CA067B8" w:tentative="1">
      <w:start w:val="1"/>
      <w:numFmt w:val="lowerRoman"/>
      <w:lvlText w:val="%9."/>
      <w:lvlJc w:val="right"/>
      <w:pPr>
        <w:tabs>
          <w:tab w:val="num" w:pos="6480"/>
        </w:tabs>
        <w:ind w:left="6480" w:hanging="180"/>
      </w:pPr>
    </w:lvl>
  </w:abstractNum>
  <w:abstractNum w:abstractNumId="5" w15:restartNumberingAfterBreak="0">
    <w:nsid w:val="0FA6020A"/>
    <w:multiLevelType w:val="hybridMultilevel"/>
    <w:tmpl w:val="20688C6E"/>
    <w:lvl w:ilvl="0" w:tplc="0C090001">
      <w:start w:val="1"/>
      <w:numFmt w:val="bullet"/>
      <w:lvlText w:val=""/>
      <w:lvlJc w:val="left"/>
      <w:pPr>
        <w:tabs>
          <w:tab w:val="num" w:pos="567"/>
        </w:tabs>
        <w:ind w:left="567" w:hanging="567"/>
      </w:pPr>
      <w:rPr>
        <w:rFonts w:ascii="Symbol" w:hAnsi="Symbol" w:hint="default"/>
      </w:rPr>
    </w:lvl>
    <w:lvl w:ilvl="1" w:tplc="61DA61F8">
      <w:start w:val="1"/>
      <w:numFmt w:val="lowerLetter"/>
      <w:lvlText w:val="%2."/>
      <w:lvlJc w:val="left"/>
      <w:pPr>
        <w:tabs>
          <w:tab w:val="num" w:pos="1440"/>
        </w:tabs>
        <w:ind w:left="1440" w:hanging="360"/>
      </w:pPr>
    </w:lvl>
    <w:lvl w:ilvl="2" w:tplc="F49E09E6" w:tentative="1">
      <w:start w:val="1"/>
      <w:numFmt w:val="lowerRoman"/>
      <w:lvlText w:val="%3."/>
      <w:lvlJc w:val="right"/>
      <w:pPr>
        <w:tabs>
          <w:tab w:val="num" w:pos="2160"/>
        </w:tabs>
        <w:ind w:left="2160" w:hanging="180"/>
      </w:pPr>
    </w:lvl>
    <w:lvl w:ilvl="3" w:tplc="1C3A36D6" w:tentative="1">
      <w:start w:val="1"/>
      <w:numFmt w:val="decimal"/>
      <w:lvlText w:val="%4."/>
      <w:lvlJc w:val="left"/>
      <w:pPr>
        <w:tabs>
          <w:tab w:val="num" w:pos="2880"/>
        </w:tabs>
        <w:ind w:left="2880" w:hanging="360"/>
      </w:pPr>
    </w:lvl>
    <w:lvl w:ilvl="4" w:tplc="FC0CE084" w:tentative="1">
      <w:start w:val="1"/>
      <w:numFmt w:val="lowerLetter"/>
      <w:lvlText w:val="%5."/>
      <w:lvlJc w:val="left"/>
      <w:pPr>
        <w:tabs>
          <w:tab w:val="num" w:pos="3600"/>
        </w:tabs>
        <w:ind w:left="3600" w:hanging="360"/>
      </w:pPr>
    </w:lvl>
    <w:lvl w:ilvl="5" w:tplc="E3665E70" w:tentative="1">
      <w:start w:val="1"/>
      <w:numFmt w:val="lowerRoman"/>
      <w:lvlText w:val="%6."/>
      <w:lvlJc w:val="right"/>
      <w:pPr>
        <w:tabs>
          <w:tab w:val="num" w:pos="4320"/>
        </w:tabs>
        <w:ind w:left="4320" w:hanging="180"/>
      </w:pPr>
    </w:lvl>
    <w:lvl w:ilvl="6" w:tplc="6FE88DA8" w:tentative="1">
      <w:start w:val="1"/>
      <w:numFmt w:val="decimal"/>
      <w:lvlText w:val="%7."/>
      <w:lvlJc w:val="left"/>
      <w:pPr>
        <w:tabs>
          <w:tab w:val="num" w:pos="5040"/>
        </w:tabs>
        <w:ind w:left="5040" w:hanging="360"/>
      </w:pPr>
    </w:lvl>
    <w:lvl w:ilvl="7" w:tplc="D384034C" w:tentative="1">
      <w:start w:val="1"/>
      <w:numFmt w:val="lowerLetter"/>
      <w:lvlText w:val="%8."/>
      <w:lvlJc w:val="left"/>
      <w:pPr>
        <w:tabs>
          <w:tab w:val="num" w:pos="5760"/>
        </w:tabs>
        <w:ind w:left="5760" w:hanging="360"/>
      </w:pPr>
    </w:lvl>
    <w:lvl w:ilvl="8" w:tplc="E37EE82A" w:tentative="1">
      <w:start w:val="1"/>
      <w:numFmt w:val="lowerRoman"/>
      <w:lvlText w:val="%9."/>
      <w:lvlJc w:val="right"/>
      <w:pPr>
        <w:tabs>
          <w:tab w:val="num" w:pos="6480"/>
        </w:tabs>
        <w:ind w:left="6480" w:hanging="180"/>
      </w:pPr>
    </w:lvl>
  </w:abstractNum>
  <w:abstractNum w:abstractNumId="6" w15:restartNumberingAfterBreak="0">
    <w:nsid w:val="132A618D"/>
    <w:multiLevelType w:val="hybridMultilevel"/>
    <w:tmpl w:val="9EC46206"/>
    <w:lvl w:ilvl="0" w:tplc="5E66F806">
      <w:start w:val="1"/>
      <w:numFmt w:val="lowerRoman"/>
      <w:pStyle w:val="Para3"/>
      <w:lvlText w:val="%1"/>
      <w:lvlJc w:val="left"/>
      <w:pPr>
        <w:tabs>
          <w:tab w:val="num" w:pos="1134"/>
        </w:tabs>
        <w:ind w:left="1134" w:hanging="567"/>
      </w:pPr>
      <w:rPr>
        <w:rFonts w:hint="default"/>
      </w:rPr>
    </w:lvl>
    <w:lvl w:ilvl="1" w:tplc="C0B0CEA0" w:tentative="1">
      <w:start w:val="1"/>
      <w:numFmt w:val="lowerLetter"/>
      <w:lvlText w:val="%2."/>
      <w:lvlJc w:val="left"/>
      <w:pPr>
        <w:tabs>
          <w:tab w:val="num" w:pos="1440"/>
        </w:tabs>
        <w:ind w:left="1440" w:hanging="360"/>
      </w:pPr>
    </w:lvl>
    <w:lvl w:ilvl="2" w:tplc="87AA2B1E" w:tentative="1">
      <w:start w:val="1"/>
      <w:numFmt w:val="lowerRoman"/>
      <w:lvlText w:val="%3."/>
      <w:lvlJc w:val="right"/>
      <w:pPr>
        <w:tabs>
          <w:tab w:val="num" w:pos="2160"/>
        </w:tabs>
        <w:ind w:left="2160" w:hanging="180"/>
      </w:pPr>
    </w:lvl>
    <w:lvl w:ilvl="3" w:tplc="9ABCC33E" w:tentative="1">
      <w:start w:val="1"/>
      <w:numFmt w:val="decimal"/>
      <w:lvlText w:val="%4."/>
      <w:lvlJc w:val="left"/>
      <w:pPr>
        <w:tabs>
          <w:tab w:val="num" w:pos="2880"/>
        </w:tabs>
        <w:ind w:left="2880" w:hanging="360"/>
      </w:pPr>
    </w:lvl>
    <w:lvl w:ilvl="4" w:tplc="9782C62E" w:tentative="1">
      <w:start w:val="1"/>
      <w:numFmt w:val="lowerLetter"/>
      <w:lvlText w:val="%5."/>
      <w:lvlJc w:val="left"/>
      <w:pPr>
        <w:tabs>
          <w:tab w:val="num" w:pos="3600"/>
        </w:tabs>
        <w:ind w:left="3600" w:hanging="360"/>
      </w:pPr>
    </w:lvl>
    <w:lvl w:ilvl="5" w:tplc="79CAAFDA" w:tentative="1">
      <w:start w:val="1"/>
      <w:numFmt w:val="lowerRoman"/>
      <w:lvlText w:val="%6."/>
      <w:lvlJc w:val="right"/>
      <w:pPr>
        <w:tabs>
          <w:tab w:val="num" w:pos="4320"/>
        </w:tabs>
        <w:ind w:left="4320" w:hanging="180"/>
      </w:pPr>
    </w:lvl>
    <w:lvl w:ilvl="6" w:tplc="BCB85CB8" w:tentative="1">
      <w:start w:val="1"/>
      <w:numFmt w:val="decimal"/>
      <w:lvlText w:val="%7."/>
      <w:lvlJc w:val="left"/>
      <w:pPr>
        <w:tabs>
          <w:tab w:val="num" w:pos="5040"/>
        </w:tabs>
        <w:ind w:left="5040" w:hanging="360"/>
      </w:pPr>
    </w:lvl>
    <w:lvl w:ilvl="7" w:tplc="8CE82FC4" w:tentative="1">
      <w:start w:val="1"/>
      <w:numFmt w:val="lowerLetter"/>
      <w:lvlText w:val="%8."/>
      <w:lvlJc w:val="left"/>
      <w:pPr>
        <w:tabs>
          <w:tab w:val="num" w:pos="5760"/>
        </w:tabs>
        <w:ind w:left="5760" w:hanging="360"/>
      </w:pPr>
    </w:lvl>
    <w:lvl w:ilvl="8" w:tplc="CE566D86" w:tentative="1">
      <w:start w:val="1"/>
      <w:numFmt w:val="lowerRoman"/>
      <w:lvlText w:val="%9."/>
      <w:lvlJc w:val="right"/>
      <w:pPr>
        <w:tabs>
          <w:tab w:val="num" w:pos="6480"/>
        </w:tabs>
        <w:ind w:left="6480" w:hanging="180"/>
      </w:pPr>
    </w:lvl>
  </w:abstractNum>
  <w:abstractNum w:abstractNumId="7" w15:restartNumberingAfterBreak="0">
    <w:nsid w:val="19784DF0"/>
    <w:multiLevelType w:val="multilevel"/>
    <w:tmpl w:val="50F4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12B84"/>
    <w:multiLevelType w:val="multilevel"/>
    <w:tmpl w:val="607A8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301F8"/>
    <w:multiLevelType w:val="hybridMultilevel"/>
    <w:tmpl w:val="81B0A810"/>
    <w:lvl w:ilvl="0" w:tplc="2D9C175C">
      <w:start w:val="1"/>
      <w:numFmt w:val="bullet"/>
      <w:pStyle w:val="Para5"/>
      <w:lvlText w:val=""/>
      <w:lvlJc w:val="left"/>
      <w:pPr>
        <w:tabs>
          <w:tab w:val="num" w:pos="1134"/>
        </w:tabs>
        <w:ind w:left="1134" w:hanging="567"/>
      </w:pPr>
      <w:rPr>
        <w:rFonts w:ascii="Symbol" w:hAnsi="Symbol" w:hint="default"/>
      </w:rPr>
    </w:lvl>
    <w:lvl w:ilvl="1" w:tplc="7E70296A">
      <w:start w:val="1"/>
      <w:numFmt w:val="bullet"/>
      <w:lvlText w:val="o"/>
      <w:lvlJc w:val="left"/>
      <w:pPr>
        <w:tabs>
          <w:tab w:val="num" w:pos="1440"/>
        </w:tabs>
        <w:ind w:left="1440" w:hanging="360"/>
      </w:pPr>
      <w:rPr>
        <w:rFonts w:ascii="Courier New" w:hAnsi="Courier New" w:cs="Courier New" w:hint="default"/>
      </w:rPr>
    </w:lvl>
    <w:lvl w:ilvl="2" w:tplc="0CDCA2F6" w:tentative="1">
      <w:start w:val="1"/>
      <w:numFmt w:val="bullet"/>
      <w:lvlText w:val=""/>
      <w:lvlJc w:val="left"/>
      <w:pPr>
        <w:tabs>
          <w:tab w:val="num" w:pos="2160"/>
        </w:tabs>
        <w:ind w:left="2160" w:hanging="360"/>
      </w:pPr>
      <w:rPr>
        <w:rFonts w:ascii="Wingdings" w:hAnsi="Wingdings" w:hint="default"/>
      </w:rPr>
    </w:lvl>
    <w:lvl w:ilvl="3" w:tplc="33349E66" w:tentative="1">
      <w:start w:val="1"/>
      <w:numFmt w:val="bullet"/>
      <w:lvlText w:val=""/>
      <w:lvlJc w:val="left"/>
      <w:pPr>
        <w:tabs>
          <w:tab w:val="num" w:pos="2880"/>
        </w:tabs>
        <w:ind w:left="2880" w:hanging="360"/>
      </w:pPr>
      <w:rPr>
        <w:rFonts w:ascii="Symbol" w:hAnsi="Symbol" w:hint="default"/>
      </w:rPr>
    </w:lvl>
    <w:lvl w:ilvl="4" w:tplc="1512C396" w:tentative="1">
      <w:start w:val="1"/>
      <w:numFmt w:val="bullet"/>
      <w:lvlText w:val="o"/>
      <w:lvlJc w:val="left"/>
      <w:pPr>
        <w:tabs>
          <w:tab w:val="num" w:pos="3600"/>
        </w:tabs>
        <w:ind w:left="3600" w:hanging="360"/>
      </w:pPr>
      <w:rPr>
        <w:rFonts w:ascii="Courier New" w:hAnsi="Courier New" w:cs="Courier New" w:hint="default"/>
      </w:rPr>
    </w:lvl>
    <w:lvl w:ilvl="5" w:tplc="E9C85F84" w:tentative="1">
      <w:start w:val="1"/>
      <w:numFmt w:val="bullet"/>
      <w:lvlText w:val=""/>
      <w:lvlJc w:val="left"/>
      <w:pPr>
        <w:tabs>
          <w:tab w:val="num" w:pos="4320"/>
        </w:tabs>
        <w:ind w:left="4320" w:hanging="360"/>
      </w:pPr>
      <w:rPr>
        <w:rFonts w:ascii="Wingdings" w:hAnsi="Wingdings" w:hint="default"/>
      </w:rPr>
    </w:lvl>
    <w:lvl w:ilvl="6" w:tplc="A07C5A6E" w:tentative="1">
      <w:start w:val="1"/>
      <w:numFmt w:val="bullet"/>
      <w:lvlText w:val=""/>
      <w:lvlJc w:val="left"/>
      <w:pPr>
        <w:tabs>
          <w:tab w:val="num" w:pos="5040"/>
        </w:tabs>
        <w:ind w:left="5040" w:hanging="360"/>
      </w:pPr>
      <w:rPr>
        <w:rFonts w:ascii="Symbol" w:hAnsi="Symbol" w:hint="default"/>
      </w:rPr>
    </w:lvl>
    <w:lvl w:ilvl="7" w:tplc="8512A66A" w:tentative="1">
      <w:start w:val="1"/>
      <w:numFmt w:val="bullet"/>
      <w:lvlText w:val="o"/>
      <w:lvlJc w:val="left"/>
      <w:pPr>
        <w:tabs>
          <w:tab w:val="num" w:pos="5760"/>
        </w:tabs>
        <w:ind w:left="5760" w:hanging="360"/>
      </w:pPr>
      <w:rPr>
        <w:rFonts w:ascii="Courier New" w:hAnsi="Courier New" w:cs="Courier New" w:hint="default"/>
      </w:rPr>
    </w:lvl>
    <w:lvl w:ilvl="8" w:tplc="E0408A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B61CF"/>
    <w:multiLevelType w:val="hybridMultilevel"/>
    <w:tmpl w:val="FBB02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42343"/>
    <w:multiLevelType w:val="multilevel"/>
    <w:tmpl w:val="E99E006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A842FF"/>
    <w:multiLevelType w:val="hybridMultilevel"/>
    <w:tmpl w:val="53E4A31C"/>
    <w:lvl w:ilvl="0" w:tplc="7B0E43BA">
      <w:start w:val="1"/>
      <w:numFmt w:val="lowerLetter"/>
      <w:pStyle w:val="Conditions"/>
      <w:lvlText w:val="%1)"/>
      <w:lvlJc w:val="left"/>
      <w:pPr>
        <w:ind w:left="3296" w:hanging="360"/>
      </w:pPr>
      <w:rPr>
        <w:rFonts w:hint="default"/>
      </w:rPr>
    </w:lvl>
    <w:lvl w:ilvl="1" w:tplc="04090019" w:tentative="1">
      <w:start w:val="1"/>
      <w:numFmt w:val="lowerLetter"/>
      <w:lvlText w:val="%2."/>
      <w:lvlJc w:val="left"/>
      <w:pPr>
        <w:ind w:left="4016" w:hanging="360"/>
      </w:pPr>
    </w:lvl>
    <w:lvl w:ilvl="2" w:tplc="0409001B" w:tentative="1">
      <w:start w:val="1"/>
      <w:numFmt w:val="lowerRoman"/>
      <w:lvlText w:val="%3."/>
      <w:lvlJc w:val="right"/>
      <w:pPr>
        <w:ind w:left="4736" w:hanging="180"/>
      </w:pPr>
    </w:lvl>
    <w:lvl w:ilvl="3" w:tplc="0409000F" w:tentative="1">
      <w:start w:val="1"/>
      <w:numFmt w:val="decimal"/>
      <w:lvlText w:val="%4."/>
      <w:lvlJc w:val="left"/>
      <w:pPr>
        <w:ind w:left="5456" w:hanging="360"/>
      </w:pPr>
    </w:lvl>
    <w:lvl w:ilvl="4" w:tplc="04090019" w:tentative="1">
      <w:start w:val="1"/>
      <w:numFmt w:val="lowerLetter"/>
      <w:lvlText w:val="%5."/>
      <w:lvlJc w:val="left"/>
      <w:pPr>
        <w:ind w:left="6176" w:hanging="360"/>
      </w:pPr>
    </w:lvl>
    <w:lvl w:ilvl="5" w:tplc="0409001B" w:tentative="1">
      <w:start w:val="1"/>
      <w:numFmt w:val="lowerRoman"/>
      <w:lvlText w:val="%6."/>
      <w:lvlJc w:val="right"/>
      <w:pPr>
        <w:ind w:left="6896" w:hanging="180"/>
      </w:pPr>
    </w:lvl>
    <w:lvl w:ilvl="6" w:tplc="0409000F" w:tentative="1">
      <w:start w:val="1"/>
      <w:numFmt w:val="decimal"/>
      <w:lvlText w:val="%7."/>
      <w:lvlJc w:val="left"/>
      <w:pPr>
        <w:ind w:left="7616" w:hanging="360"/>
      </w:pPr>
    </w:lvl>
    <w:lvl w:ilvl="7" w:tplc="04090019" w:tentative="1">
      <w:start w:val="1"/>
      <w:numFmt w:val="lowerLetter"/>
      <w:lvlText w:val="%8."/>
      <w:lvlJc w:val="left"/>
      <w:pPr>
        <w:ind w:left="8336" w:hanging="360"/>
      </w:pPr>
    </w:lvl>
    <w:lvl w:ilvl="8" w:tplc="0409001B" w:tentative="1">
      <w:start w:val="1"/>
      <w:numFmt w:val="lowerRoman"/>
      <w:lvlText w:val="%9."/>
      <w:lvlJc w:val="right"/>
      <w:pPr>
        <w:ind w:left="9056" w:hanging="180"/>
      </w:pPr>
    </w:lvl>
  </w:abstractNum>
  <w:abstractNum w:abstractNumId="14" w15:restartNumberingAfterBreak="0">
    <w:nsid w:val="4B96757F"/>
    <w:multiLevelType w:val="hybridMultilevel"/>
    <w:tmpl w:val="960026C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4CD71EEA"/>
    <w:multiLevelType w:val="hybridMultilevel"/>
    <w:tmpl w:val="6996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4847A9"/>
    <w:multiLevelType w:val="hybridMultilevel"/>
    <w:tmpl w:val="C1F2E8F8"/>
    <w:lvl w:ilvl="0" w:tplc="0C090003">
      <w:start w:val="1"/>
      <w:numFmt w:val="bullet"/>
      <w:lvlText w:val="o"/>
      <w:lvlJc w:val="left"/>
      <w:pPr>
        <w:tabs>
          <w:tab w:val="num" w:pos="-279"/>
        </w:tabs>
        <w:ind w:left="-279" w:hanging="567"/>
      </w:pPr>
      <w:rPr>
        <w:rFonts w:ascii="Courier New" w:hAnsi="Courier New" w:cs="Courier New" w:hint="default"/>
      </w:rPr>
    </w:lvl>
    <w:lvl w:ilvl="1" w:tplc="CF1A9D6E">
      <w:start w:val="1"/>
      <w:numFmt w:val="lowerLetter"/>
      <w:lvlText w:val="%2."/>
      <w:lvlJc w:val="left"/>
      <w:pPr>
        <w:tabs>
          <w:tab w:val="num" w:pos="594"/>
        </w:tabs>
        <w:ind w:left="594" w:hanging="360"/>
      </w:pPr>
    </w:lvl>
    <w:lvl w:ilvl="2" w:tplc="FBC08D44" w:tentative="1">
      <w:start w:val="1"/>
      <w:numFmt w:val="lowerRoman"/>
      <w:lvlText w:val="%3."/>
      <w:lvlJc w:val="right"/>
      <w:pPr>
        <w:tabs>
          <w:tab w:val="num" w:pos="1314"/>
        </w:tabs>
        <w:ind w:left="1314" w:hanging="180"/>
      </w:pPr>
    </w:lvl>
    <w:lvl w:ilvl="3" w:tplc="02361DB2" w:tentative="1">
      <w:start w:val="1"/>
      <w:numFmt w:val="decimal"/>
      <w:lvlText w:val="%4."/>
      <w:lvlJc w:val="left"/>
      <w:pPr>
        <w:tabs>
          <w:tab w:val="num" w:pos="2034"/>
        </w:tabs>
        <w:ind w:left="2034" w:hanging="360"/>
      </w:pPr>
    </w:lvl>
    <w:lvl w:ilvl="4" w:tplc="7D84CFAA" w:tentative="1">
      <w:start w:val="1"/>
      <w:numFmt w:val="lowerLetter"/>
      <w:lvlText w:val="%5."/>
      <w:lvlJc w:val="left"/>
      <w:pPr>
        <w:tabs>
          <w:tab w:val="num" w:pos="2754"/>
        </w:tabs>
        <w:ind w:left="2754" w:hanging="360"/>
      </w:pPr>
    </w:lvl>
    <w:lvl w:ilvl="5" w:tplc="49E664E6" w:tentative="1">
      <w:start w:val="1"/>
      <w:numFmt w:val="lowerRoman"/>
      <w:lvlText w:val="%6."/>
      <w:lvlJc w:val="right"/>
      <w:pPr>
        <w:tabs>
          <w:tab w:val="num" w:pos="3474"/>
        </w:tabs>
        <w:ind w:left="3474" w:hanging="180"/>
      </w:pPr>
    </w:lvl>
    <w:lvl w:ilvl="6" w:tplc="5E205A1C" w:tentative="1">
      <w:start w:val="1"/>
      <w:numFmt w:val="decimal"/>
      <w:lvlText w:val="%7."/>
      <w:lvlJc w:val="left"/>
      <w:pPr>
        <w:tabs>
          <w:tab w:val="num" w:pos="4194"/>
        </w:tabs>
        <w:ind w:left="4194" w:hanging="360"/>
      </w:pPr>
    </w:lvl>
    <w:lvl w:ilvl="7" w:tplc="782830E8" w:tentative="1">
      <w:start w:val="1"/>
      <w:numFmt w:val="lowerLetter"/>
      <w:lvlText w:val="%8."/>
      <w:lvlJc w:val="left"/>
      <w:pPr>
        <w:tabs>
          <w:tab w:val="num" w:pos="4914"/>
        </w:tabs>
        <w:ind w:left="4914" w:hanging="360"/>
      </w:pPr>
    </w:lvl>
    <w:lvl w:ilvl="8" w:tplc="8CA067B8" w:tentative="1">
      <w:start w:val="1"/>
      <w:numFmt w:val="lowerRoman"/>
      <w:lvlText w:val="%9."/>
      <w:lvlJc w:val="right"/>
      <w:pPr>
        <w:tabs>
          <w:tab w:val="num" w:pos="5634"/>
        </w:tabs>
        <w:ind w:left="5634" w:hanging="180"/>
      </w:pPr>
    </w:lvl>
  </w:abstractNum>
  <w:abstractNum w:abstractNumId="17" w15:restartNumberingAfterBreak="0">
    <w:nsid w:val="538B33FD"/>
    <w:multiLevelType w:val="hybridMultilevel"/>
    <w:tmpl w:val="3E9C3316"/>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BC08D44" w:tentative="1">
      <w:start w:val="1"/>
      <w:numFmt w:val="lowerRoman"/>
      <w:lvlText w:val="%3."/>
      <w:lvlJc w:val="right"/>
      <w:pPr>
        <w:tabs>
          <w:tab w:val="num" w:pos="2160"/>
        </w:tabs>
        <w:ind w:left="2160" w:hanging="180"/>
      </w:pPr>
    </w:lvl>
    <w:lvl w:ilvl="3" w:tplc="02361DB2" w:tentative="1">
      <w:start w:val="1"/>
      <w:numFmt w:val="decimal"/>
      <w:lvlText w:val="%4."/>
      <w:lvlJc w:val="left"/>
      <w:pPr>
        <w:tabs>
          <w:tab w:val="num" w:pos="2880"/>
        </w:tabs>
        <w:ind w:left="2880" w:hanging="360"/>
      </w:pPr>
    </w:lvl>
    <w:lvl w:ilvl="4" w:tplc="7D84CFAA" w:tentative="1">
      <w:start w:val="1"/>
      <w:numFmt w:val="lowerLetter"/>
      <w:lvlText w:val="%5."/>
      <w:lvlJc w:val="left"/>
      <w:pPr>
        <w:tabs>
          <w:tab w:val="num" w:pos="3600"/>
        </w:tabs>
        <w:ind w:left="3600" w:hanging="360"/>
      </w:pPr>
    </w:lvl>
    <w:lvl w:ilvl="5" w:tplc="49E664E6" w:tentative="1">
      <w:start w:val="1"/>
      <w:numFmt w:val="lowerRoman"/>
      <w:lvlText w:val="%6."/>
      <w:lvlJc w:val="right"/>
      <w:pPr>
        <w:tabs>
          <w:tab w:val="num" w:pos="4320"/>
        </w:tabs>
        <w:ind w:left="4320" w:hanging="180"/>
      </w:pPr>
    </w:lvl>
    <w:lvl w:ilvl="6" w:tplc="5E205A1C" w:tentative="1">
      <w:start w:val="1"/>
      <w:numFmt w:val="decimal"/>
      <w:lvlText w:val="%7."/>
      <w:lvlJc w:val="left"/>
      <w:pPr>
        <w:tabs>
          <w:tab w:val="num" w:pos="5040"/>
        </w:tabs>
        <w:ind w:left="5040" w:hanging="360"/>
      </w:pPr>
    </w:lvl>
    <w:lvl w:ilvl="7" w:tplc="782830E8" w:tentative="1">
      <w:start w:val="1"/>
      <w:numFmt w:val="lowerLetter"/>
      <w:lvlText w:val="%8."/>
      <w:lvlJc w:val="left"/>
      <w:pPr>
        <w:tabs>
          <w:tab w:val="num" w:pos="5760"/>
        </w:tabs>
        <w:ind w:left="5760" w:hanging="360"/>
      </w:pPr>
    </w:lvl>
    <w:lvl w:ilvl="8" w:tplc="8CA067B8" w:tentative="1">
      <w:start w:val="1"/>
      <w:numFmt w:val="lowerRoman"/>
      <w:lvlText w:val="%9."/>
      <w:lvlJc w:val="right"/>
      <w:pPr>
        <w:tabs>
          <w:tab w:val="num" w:pos="6480"/>
        </w:tabs>
        <w:ind w:left="6480" w:hanging="180"/>
      </w:pPr>
    </w:lvl>
  </w:abstractNum>
  <w:abstractNum w:abstractNumId="18"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D7864F7"/>
    <w:multiLevelType w:val="hybridMultilevel"/>
    <w:tmpl w:val="4DD8D500"/>
    <w:lvl w:ilvl="0" w:tplc="EEA02F1C">
      <w:numFmt w:val="bullet"/>
      <w:pStyle w:val="Quote3"/>
      <w:lvlText w:val=""/>
      <w:lvlJc w:val="left"/>
      <w:pPr>
        <w:tabs>
          <w:tab w:val="num" w:pos="1701"/>
        </w:tabs>
        <w:ind w:left="1701" w:hanging="567"/>
      </w:pPr>
      <w:rPr>
        <w:rFonts w:ascii="Symbol" w:eastAsia="Times New Roman" w:hAnsi="Symbol" w:cs="Times New Roman" w:hint="default"/>
        <w:sz w:val="16"/>
      </w:rPr>
    </w:lvl>
    <w:lvl w:ilvl="1" w:tplc="9A7AE346" w:tentative="1">
      <w:start w:val="1"/>
      <w:numFmt w:val="bullet"/>
      <w:lvlText w:val="o"/>
      <w:lvlJc w:val="left"/>
      <w:pPr>
        <w:tabs>
          <w:tab w:val="num" w:pos="1440"/>
        </w:tabs>
        <w:ind w:left="1440" w:hanging="360"/>
      </w:pPr>
      <w:rPr>
        <w:rFonts w:ascii="Courier New" w:hAnsi="Courier New" w:hint="default"/>
      </w:rPr>
    </w:lvl>
    <w:lvl w:ilvl="2" w:tplc="A9686C74" w:tentative="1">
      <w:start w:val="1"/>
      <w:numFmt w:val="bullet"/>
      <w:lvlText w:val=""/>
      <w:lvlJc w:val="left"/>
      <w:pPr>
        <w:tabs>
          <w:tab w:val="num" w:pos="2160"/>
        </w:tabs>
        <w:ind w:left="2160" w:hanging="360"/>
      </w:pPr>
      <w:rPr>
        <w:rFonts w:ascii="Wingdings" w:hAnsi="Wingdings" w:hint="default"/>
      </w:rPr>
    </w:lvl>
    <w:lvl w:ilvl="3" w:tplc="2954D6C8" w:tentative="1">
      <w:start w:val="1"/>
      <w:numFmt w:val="bullet"/>
      <w:lvlText w:val=""/>
      <w:lvlJc w:val="left"/>
      <w:pPr>
        <w:tabs>
          <w:tab w:val="num" w:pos="2880"/>
        </w:tabs>
        <w:ind w:left="2880" w:hanging="360"/>
      </w:pPr>
      <w:rPr>
        <w:rFonts w:ascii="Symbol" w:hAnsi="Symbol" w:hint="default"/>
      </w:rPr>
    </w:lvl>
    <w:lvl w:ilvl="4" w:tplc="4022AF40" w:tentative="1">
      <w:start w:val="1"/>
      <w:numFmt w:val="bullet"/>
      <w:lvlText w:val="o"/>
      <w:lvlJc w:val="left"/>
      <w:pPr>
        <w:tabs>
          <w:tab w:val="num" w:pos="3600"/>
        </w:tabs>
        <w:ind w:left="3600" w:hanging="360"/>
      </w:pPr>
      <w:rPr>
        <w:rFonts w:ascii="Courier New" w:hAnsi="Courier New" w:hint="default"/>
      </w:rPr>
    </w:lvl>
    <w:lvl w:ilvl="5" w:tplc="A78AF1A8" w:tentative="1">
      <w:start w:val="1"/>
      <w:numFmt w:val="bullet"/>
      <w:lvlText w:val=""/>
      <w:lvlJc w:val="left"/>
      <w:pPr>
        <w:tabs>
          <w:tab w:val="num" w:pos="4320"/>
        </w:tabs>
        <w:ind w:left="4320" w:hanging="360"/>
      </w:pPr>
      <w:rPr>
        <w:rFonts w:ascii="Wingdings" w:hAnsi="Wingdings" w:hint="default"/>
      </w:rPr>
    </w:lvl>
    <w:lvl w:ilvl="6" w:tplc="76B8068E" w:tentative="1">
      <w:start w:val="1"/>
      <w:numFmt w:val="bullet"/>
      <w:lvlText w:val=""/>
      <w:lvlJc w:val="left"/>
      <w:pPr>
        <w:tabs>
          <w:tab w:val="num" w:pos="5040"/>
        </w:tabs>
        <w:ind w:left="5040" w:hanging="360"/>
      </w:pPr>
      <w:rPr>
        <w:rFonts w:ascii="Symbol" w:hAnsi="Symbol" w:hint="default"/>
      </w:rPr>
    </w:lvl>
    <w:lvl w:ilvl="7" w:tplc="B4908920" w:tentative="1">
      <w:start w:val="1"/>
      <w:numFmt w:val="bullet"/>
      <w:lvlText w:val="o"/>
      <w:lvlJc w:val="left"/>
      <w:pPr>
        <w:tabs>
          <w:tab w:val="num" w:pos="5760"/>
        </w:tabs>
        <w:ind w:left="5760" w:hanging="360"/>
      </w:pPr>
      <w:rPr>
        <w:rFonts w:ascii="Courier New" w:hAnsi="Courier New" w:hint="default"/>
      </w:rPr>
    </w:lvl>
    <w:lvl w:ilvl="8" w:tplc="10E0D1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00E7E"/>
    <w:multiLevelType w:val="hybridMultilevel"/>
    <w:tmpl w:val="B4E2B084"/>
    <w:lvl w:ilvl="0" w:tplc="68D66C2C">
      <w:start w:val="1"/>
      <w:numFmt w:val="decimal"/>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78BC4EC8" w:tentative="1">
      <w:start w:val="1"/>
      <w:numFmt w:val="lowerRoman"/>
      <w:lvlText w:val="%3."/>
      <w:lvlJc w:val="right"/>
      <w:pPr>
        <w:tabs>
          <w:tab w:val="num" w:pos="2160"/>
        </w:tabs>
        <w:ind w:left="2160" w:hanging="180"/>
      </w:pPr>
    </w:lvl>
    <w:lvl w:ilvl="3" w:tplc="C53036E8" w:tentative="1">
      <w:start w:val="1"/>
      <w:numFmt w:val="decimal"/>
      <w:lvlText w:val="%4."/>
      <w:lvlJc w:val="left"/>
      <w:pPr>
        <w:tabs>
          <w:tab w:val="num" w:pos="2880"/>
        </w:tabs>
        <w:ind w:left="2880" w:hanging="360"/>
      </w:pPr>
    </w:lvl>
    <w:lvl w:ilvl="4" w:tplc="F2A0A728" w:tentative="1">
      <w:start w:val="1"/>
      <w:numFmt w:val="lowerLetter"/>
      <w:lvlText w:val="%5."/>
      <w:lvlJc w:val="left"/>
      <w:pPr>
        <w:tabs>
          <w:tab w:val="num" w:pos="3600"/>
        </w:tabs>
        <w:ind w:left="3600" w:hanging="360"/>
      </w:pPr>
    </w:lvl>
    <w:lvl w:ilvl="5" w:tplc="5074CC5E" w:tentative="1">
      <w:start w:val="1"/>
      <w:numFmt w:val="lowerRoman"/>
      <w:lvlText w:val="%6."/>
      <w:lvlJc w:val="right"/>
      <w:pPr>
        <w:tabs>
          <w:tab w:val="num" w:pos="4320"/>
        </w:tabs>
        <w:ind w:left="4320" w:hanging="180"/>
      </w:pPr>
    </w:lvl>
    <w:lvl w:ilvl="6" w:tplc="C470B242" w:tentative="1">
      <w:start w:val="1"/>
      <w:numFmt w:val="decimal"/>
      <w:lvlText w:val="%7."/>
      <w:lvlJc w:val="left"/>
      <w:pPr>
        <w:tabs>
          <w:tab w:val="num" w:pos="5040"/>
        </w:tabs>
        <w:ind w:left="5040" w:hanging="360"/>
      </w:pPr>
    </w:lvl>
    <w:lvl w:ilvl="7" w:tplc="24042F82" w:tentative="1">
      <w:start w:val="1"/>
      <w:numFmt w:val="lowerLetter"/>
      <w:lvlText w:val="%8."/>
      <w:lvlJc w:val="left"/>
      <w:pPr>
        <w:tabs>
          <w:tab w:val="num" w:pos="5760"/>
        </w:tabs>
        <w:ind w:left="5760" w:hanging="360"/>
      </w:pPr>
    </w:lvl>
    <w:lvl w:ilvl="8" w:tplc="F89E8FF2"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2"/>
  </w:num>
  <w:num w:numId="4">
    <w:abstractNumId w:val="6"/>
  </w:num>
  <w:num w:numId="5">
    <w:abstractNumId w:val="2"/>
  </w:num>
  <w:num w:numId="6">
    <w:abstractNumId w:val="9"/>
  </w:num>
  <w:num w:numId="7">
    <w:abstractNumId w:val="19"/>
  </w:num>
  <w:num w:numId="8">
    <w:abstractNumId w:val="1"/>
  </w:num>
  <w:num w:numId="9">
    <w:abstractNumId w:val="13"/>
  </w:num>
  <w:num w:numId="10">
    <w:abstractNumId w:val="5"/>
  </w:num>
  <w:num w:numId="11">
    <w:abstractNumId w:val="20"/>
  </w:num>
  <w:num w:numId="12">
    <w:abstractNumId w:val="11"/>
  </w:num>
  <w:num w:numId="13">
    <w:abstractNumId w:val="4"/>
  </w:num>
  <w:num w:numId="14">
    <w:abstractNumId w:val="17"/>
  </w:num>
  <w:num w:numId="15">
    <w:abstractNumId w:val="16"/>
  </w:num>
  <w:num w:numId="16">
    <w:abstractNumId w:val="10"/>
  </w:num>
  <w:num w:numId="17">
    <w:abstractNumId w:val="14"/>
  </w:num>
  <w:num w:numId="18">
    <w:abstractNumId w:val="8"/>
  </w:num>
  <w:num w:numId="19">
    <w:abstractNumId w:val="18"/>
  </w:num>
  <w:num w:numId="20">
    <w:abstractNumId w:val="0"/>
    <w:lvlOverride w:ilvl="0">
      <w:startOverride w:val="7"/>
    </w:lvlOverride>
  </w:num>
  <w:num w:numId="21">
    <w:abstractNumId w:val="7"/>
    <w:lvlOverride w:ilvl="0">
      <w:startOverride w:val="10"/>
    </w:lvlOverride>
  </w:num>
  <w:num w:numId="22">
    <w:abstractNumId w:val="7"/>
    <w:lvlOverride w:ilvl="0">
      <w:startOverride w:val="11"/>
    </w:lvlOverride>
  </w:num>
  <w:num w:numId="23">
    <w:abstractNumId w:val="7"/>
    <w:lvlOverride w:ilvl="0">
      <w:startOverride w:val="12"/>
    </w:lvlOverride>
  </w:num>
  <w:num w:numId="24">
    <w:abstractNumId w:val="7"/>
    <w:lvlOverride w:ilvl="0">
      <w:startOverride w:val="13"/>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WezuxMeu6KrLQG5t1xEKY/sqRuUyE6OC1iiBedJ8v97PI5K2ZxAzqDa3ut0VmeaY8sW+s92JW9d1whsb30thQ==" w:salt="pm/ocWsVhojgiIgBcaTNrA=="/>
  <w:defaultTabStop w:val="284"/>
  <w:noPunctuationKerning/>
  <w:characterSpacingControl w:val="doNotCompress"/>
  <w:hdrShapeDefaults>
    <o:shapedefaults v:ext="edit" spidmax="2049">
      <o:colormru v:ext="edit" colors="#f6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CAT Seal" w:val="True"/>
  </w:docVars>
  <w:rsids>
    <w:rsidRoot w:val="009119A0"/>
    <w:rsid w:val="00000E5E"/>
    <w:rsid w:val="0000148C"/>
    <w:rsid w:val="0000255B"/>
    <w:rsid w:val="000033BF"/>
    <w:rsid w:val="00003B47"/>
    <w:rsid w:val="00005143"/>
    <w:rsid w:val="00005697"/>
    <w:rsid w:val="00006F3A"/>
    <w:rsid w:val="00007B3E"/>
    <w:rsid w:val="00012DF6"/>
    <w:rsid w:val="00013B97"/>
    <w:rsid w:val="0001529C"/>
    <w:rsid w:val="00015C32"/>
    <w:rsid w:val="00016802"/>
    <w:rsid w:val="00020446"/>
    <w:rsid w:val="000206E2"/>
    <w:rsid w:val="00020891"/>
    <w:rsid w:val="00021A4D"/>
    <w:rsid w:val="00021C4D"/>
    <w:rsid w:val="00022456"/>
    <w:rsid w:val="000239EF"/>
    <w:rsid w:val="00024032"/>
    <w:rsid w:val="00024B4C"/>
    <w:rsid w:val="00024E13"/>
    <w:rsid w:val="00025117"/>
    <w:rsid w:val="000258F2"/>
    <w:rsid w:val="00026B80"/>
    <w:rsid w:val="00027E7D"/>
    <w:rsid w:val="000300B4"/>
    <w:rsid w:val="000305E0"/>
    <w:rsid w:val="000307CD"/>
    <w:rsid w:val="00030EE3"/>
    <w:rsid w:val="00031C33"/>
    <w:rsid w:val="000329EF"/>
    <w:rsid w:val="0003347F"/>
    <w:rsid w:val="00033D50"/>
    <w:rsid w:val="00034B13"/>
    <w:rsid w:val="00034B1E"/>
    <w:rsid w:val="00036921"/>
    <w:rsid w:val="0003693D"/>
    <w:rsid w:val="00036E6A"/>
    <w:rsid w:val="00037013"/>
    <w:rsid w:val="00037F8D"/>
    <w:rsid w:val="00041629"/>
    <w:rsid w:val="00041973"/>
    <w:rsid w:val="00042C7E"/>
    <w:rsid w:val="000439A6"/>
    <w:rsid w:val="00044EE0"/>
    <w:rsid w:val="00045823"/>
    <w:rsid w:val="00047056"/>
    <w:rsid w:val="00047656"/>
    <w:rsid w:val="00050687"/>
    <w:rsid w:val="000524B6"/>
    <w:rsid w:val="000526A1"/>
    <w:rsid w:val="00053A56"/>
    <w:rsid w:val="00053D59"/>
    <w:rsid w:val="00053FB2"/>
    <w:rsid w:val="00054928"/>
    <w:rsid w:val="00055D05"/>
    <w:rsid w:val="0005614E"/>
    <w:rsid w:val="00056B55"/>
    <w:rsid w:val="000600C4"/>
    <w:rsid w:val="0006012B"/>
    <w:rsid w:val="000617AE"/>
    <w:rsid w:val="00063873"/>
    <w:rsid w:val="0006424C"/>
    <w:rsid w:val="00064D7B"/>
    <w:rsid w:val="00064EE3"/>
    <w:rsid w:val="00065857"/>
    <w:rsid w:val="0006731D"/>
    <w:rsid w:val="00067BD6"/>
    <w:rsid w:val="0007028F"/>
    <w:rsid w:val="000703FF"/>
    <w:rsid w:val="00070C41"/>
    <w:rsid w:val="0007206B"/>
    <w:rsid w:val="0007262A"/>
    <w:rsid w:val="0007311A"/>
    <w:rsid w:val="0007350A"/>
    <w:rsid w:val="00073CBE"/>
    <w:rsid w:val="0007427D"/>
    <w:rsid w:val="000745A9"/>
    <w:rsid w:val="0007526B"/>
    <w:rsid w:val="00075875"/>
    <w:rsid w:val="00075C26"/>
    <w:rsid w:val="00075DFC"/>
    <w:rsid w:val="00075F00"/>
    <w:rsid w:val="0007730D"/>
    <w:rsid w:val="000804FF"/>
    <w:rsid w:val="000834CB"/>
    <w:rsid w:val="00084024"/>
    <w:rsid w:val="000844B4"/>
    <w:rsid w:val="000847A3"/>
    <w:rsid w:val="00085CB0"/>
    <w:rsid w:val="000872CE"/>
    <w:rsid w:val="00090259"/>
    <w:rsid w:val="00090434"/>
    <w:rsid w:val="0009089F"/>
    <w:rsid w:val="00091F4B"/>
    <w:rsid w:val="000924A4"/>
    <w:rsid w:val="000932E2"/>
    <w:rsid w:val="0009448C"/>
    <w:rsid w:val="00094A19"/>
    <w:rsid w:val="00095694"/>
    <w:rsid w:val="00097D11"/>
    <w:rsid w:val="000A02DE"/>
    <w:rsid w:val="000A1C5B"/>
    <w:rsid w:val="000A1D60"/>
    <w:rsid w:val="000A3534"/>
    <w:rsid w:val="000A4BE5"/>
    <w:rsid w:val="000A593E"/>
    <w:rsid w:val="000A6973"/>
    <w:rsid w:val="000A7657"/>
    <w:rsid w:val="000A7AA4"/>
    <w:rsid w:val="000A7D5D"/>
    <w:rsid w:val="000B23D1"/>
    <w:rsid w:val="000B312D"/>
    <w:rsid w:val="000B3603"/>
    <w:rsid w:val="000B507F"/>
    <w:rsid w:val="000B571D"/>
    <w:rsid w:val="000B61D9"/>
    <w:rsid w:val="000B6CD5"/>
    <w:rsid w:val="000C0DB2"/>
    <w:rsid w:val="000C0DBD"/>
    <w:rsid w:val="000C166A"/>
    <w:rsid w:val="000C16CD"/>
    <w:rsid w:val="000C3470"/>
    <w:rsid w:val="000C3FF1"/>
    <w:rsid w:val="000C416D"/>
    <w:rsid w:val="000C4479"/>
    <w:rsid w:val="000C4527"/>
    <w:rsid w:val="000C4549"/>
    <w:rsid w:val="000C5B19"/>
    <w:rsid w:val="000C5C3D"/>
    <w:rsid w:val="000C6D76"/>
    <w:rsid w:val="000C6FA5"/>
    <w:rsid w:val="000D0D29"/>
    <w:rsid w:val="000D10D2"/>
    <w:rsid w:val="000D1295"/>
    <w:rsid w:val="000D25A4"/>
    <w:rsid w:val="000D2A41"/>
    <w:rsid w:val="000D3A30"/>
    <w:rsid w:val="000D4E3A"/>
    <w:rsid w:val="000D4E57"/>
    <w:rsid w:val="000D5159"/>
    <w:rsid w:val="000D6F45"/>
    <w:rsid w:val="000D7030"/>
    <w:rsid w:val="000D7FC8"/>
    <w:rsid w:val="000E0AE1"/>
    <w:rsid w:val="000E1F85"/>
    <w:rsid w:val="000E4F74"/>
    <w:rsid w:val="000E52BE"/>
    <w:rsid w:val="000E5628"/>
    <w:rsid w:val="000E5A74"/>
    <w:rsid w:val="000E5C21"/>
    <w:rsid w:val="000F0B32"/>
    <w:rsid w:val="000F1678"/>
    <w:rsid w:val="000F2293"/>
    <w:rsid w:val="000F32DE"/>
    <w:rsid w:val="000F3492"/>
    <w:rsid w:val="000F3C2B"/>
    <w:rsid w:val="000F3DEB"/>
    <w:rsid w:val="000F5028"/>
    <w:rsid w:val="000F5434"/>
    <w:rsid w:val="000F6396"/>
    <w:rsid w:val="000F67BC"/>
    <w:rsid w:val="000F6B09"/>
    <w:rsid w:val="00101730"/>
    <w:rsid w:val="00101D5F"/>
    <w:rsid w:val="00103D40"/>
    <w:rsid w:val="00106E3A"/>
    <w:rsid w:val="00111006"/>
    <w:rsid w:val="00111259"/>
    <w:rsid w:val="00111800"/>
    <w:rsid w:val="00111A41"/>
    <w:rsid w:val="00112451"/>
    <w:rsid w:val="00112D66"/>
    <w:rsid w:val="00114455"/>
    <w:rsid w:val="001152E1"/>
    <w:rsid w:val="0011620B"/>
    <w:rsid w:val="00117291"/>
    <w:rsid w:val="00117907"/>
    <w:rsid w:val="001207CB"/>
    <w:rsid w:val="001231E0"/>
    <w:rsid w:val="0012407C"/>
    <w:rsid w:val="00124520"/>
    <w:rsid w:val="00125695"/>
    <w:rsid w:val="00126E62"/>
    <w:rsid w:val="0013032C"/>
    <w:rsid w:val="00134712"/>
    <w:rsid w:val="0013694F"/>
    <w:rsid w:val="00142033"/>
    <w:rsid w:val="001426DC"/>
    <w:rsid w:val="001429A7"/>
    <w:rsid w:val="00143036"/>
    <w:rsid w:val="00143743"/>
    <w:rsid w:val="00145CFE"/>
    <w:rsid w:val="00146FA8"/>
    <w:rsid w:val="00147047"/>
    <w:rsid w:val="001504AB"/>
    <w:rsid w:val="00151946"/>
    <w:rsid w:val="00151A3B"/>
    <w:rsid w:val="0015246E"/>
    <w:rsid w:val="0015305F"/>
    <w:rsid w:val="00153DCF"/>
    <w:rsid w:val="00155F77"/>
    <w:rsid w:val="001574AF"/>
    <w:rsid w:val="00157695"/>
    <w:rsid w:val="00162B33"/>
    <w:rsid w:val="00164A79"/>
    <w:rsid w:val="0016639C"/>
    <w:rsid w:val="00166708"/>
    <w:rsid w:val="00167033"/>
    <w:rsid w:val="00167C23"/>
    <w:rsid w:val="00170A91"/>
    <w:rsid w:val="00172645"/>
    <w:rsid w:val="00172BA2"/>
    <w:rsid w:val="00173248"/>
    <w:rsid w:val="0017347C"/>
    <w:rsid w:val="00173CA9"/>
    <w:rsid w:val="00173CF0"/>
    <w:rsid w:val="0017526B"/>
    <w:rsid w:val="001763EE"/>
    <w:rsid w:val="00176888"/>
    <w:rsid w:val="00176AA2"/>
    <w:rsid w:val="0017791C"/>
    <w:rsid w:val="00177DD6"/>
    <w:rsid w:val="0018072A"/>
    <w:rsid w:val="00181F06"/>
    <w:rsid w:val="00182838"/>
    <w:rsid w:val="001853F4"/>
    <w:rsid w:val="00185E61"/>
    <w:rsid w:val="00186396"/>
    <w:rsid w:val="00186C11"/>
    <w:rsid w:val="00186F61"/>
    <w:rsid w:val="0018716D"/>
    <w:rsid w:val="00187A8A"/>
    <w:rsid w:val="00191116"/>
    <w:rsid w:val="0019161E"/>
    <w:rsid w:val="0019163E"/>
    <w:rsid w:val="00191B60"/>
    <w:rsid w:val="00192D8E"/>
    <w:rsid w:val="001938D1"/>
    <w:rsid w:val="0019533C"/>
    <w:rsid w:val="00196410"/>
    <w:rsid w:val="00196462"/>
    <w:rsid w:val="00196E27"/>
    <w:rsid w:val="00197535"/>
    <w:rsid w:val="001A009F"/>
    <w:rsid w:val="001A07E8"/>
    <w:rsid w:val="001A088C"/>
    <w:rsid w:val="001A11BF"/>
    <w:rsid w:val="001A230C"/>
    <w:rsid w:val="001A251E"/>
    <w:rsid w:val="001A307F"/>
    <w:rsid w:val="001A3A8F"/>
    <w:rsid w:val="001A3E76"/>
    <w:rsid w:val="001A3EB5"/>
    <w:rsid w:val="001A40F8"/>
    <w:rsid w:val="001A42B9"/>
    <w:rsid w:val="001A4FA2"/>
    <w:rsid w:val="001A56AF"/>
    <w:rsid w:val="001A7048"/>
    <w:rsid w:val="001A7D9C"/>
    <w:rsid w:val="001B04FE"/>
    <w:rsid w:val="001B2413"/>
    <w:rsid w:val="001B3C62"/>
    <w:rsid w:val="001B40FB"/>
    <w:rsid w:val="001B4315"/>
    <w:rsid w:val="001B4A27"/>
    <w:rsid w:val="001B4E49"/>
    <w:rsid w:val="001B59FD"/>
    <w:rsid w:val="001B5E2F"/>
    <w:rsid w:val="001B640A"/>
    <w:rsid w:val="001C0BF4"/>
    <w:rsid w:val="001C12C4"/>
    <w:rsid w:val="001C2F8B"/>
    <w:rsid w:val="001C3099"/>
    <w:rsid w:val="001C3EAF"/>
    <w:rsid w:val="001C4005"/>
    <w:rsid w:val="001C5464"/>
    <w:rsid w:val="001C586F"/>
    <w:rsid w:val="001C613E"/>
    <w:rsid w:val="001C61CE"/>
    <w:rsid w:val="001C658F"/>
    <w:rsid w:val="001C65DB"/>
    <w:rsid w:val="001C7609"/>
    <w:rsid w:val="001C7D13"/>
    <w:rsid w:val="001D0441"/>
    <w:rsid w:val="001D0F68"/>
    <w:rsid w:val="001D1030"/>
    <w:rsid w:val="001D1395"/>
    <w:rsid w:val="001D19E0"/>
    <w:rsid w:val="001D2267"/>
    <w:rsid w:val="001D2483"/>
    <w:rsid w:val="001D2B5C"/>
    <w:rsid w:val="001D330F"/>
    <w:rsid w:val="001D45BC"/>
    <w:rsid w:val="001D4956"/>
    <w:rsid w:val="001D4FB0"/>
    <w:rsid w:val="001D79BB"/>
    <w:rsid w:val="001D7B5D"/>
    <w:rsid w:val="001E0341"/>
    <w:rsid w:val="001E1313"/>
    <w:rsid w:val="001E16FB"/>
    <w:rsid w:val="001E1D13"/>
    <w:rsid w:val="001E30C3"/>
    <w:rsid w:val="001E33CC"/>
    <w:rsid w:val="001E3B2D"/>
    <w:rsid w:val="001E415E"/>
    <w:rsid w:val="001E4196"/>
    <w:rsid w:val="001E5D69"/>
    <w:rsid w:val="001F0091"/>
    <w:rsid w:val="001F06D2"/>
    <w:rsid w:val="001F0804"/>
    <w:rsid w:val="001F0B93"/>
    <w:rsid w:val="001F136B"/>
    <w:rsid w:val="001F1ADB"/>
    <w:rsid w:val="001F1EC1"/>
    <w:rsid w:val="001F2E65"/>
    <w:rsid w:val="001F4050"/>
    <w:rsid w:val="001F5991"/>
    <w:rsid w:val="001F68D2"/>
    <w:rsid w:val="001F6FF2"/>
    <w:rsid w:val="001F7FDD"/>
    <w:rsid w:val="00201164"/>
    <w:rsid w:val="002019CF"/>
    <w:rsid w:val="00202C46"/>
    <w:rsid w:val="00203E1B"/>
    <w:rsid w:val="002048CD"/>
    <w:rsid w:val="00204D03"/>
    <w:rsid w:val="00204DD0"/>
    <w:rsid w:val="0020507E"/>
    <w:rsid w:val="00205215"/>
    <w:rsid w:val="00206605"/>
    <w:rsid w:val="00206E0C"/>
    <w:rsid w:val="002077EF"/>
    <w:rsid w:val="00207FC0"/>
    <w:rsid w:val="0021058B"/>
    <w:rsid w:val="0021517D"/>
    <w:rsid w:val="0021549F"/>
    <w:rsid w:val="00215D65"/>
    <w:rsid w:val="002161C6"/>
    <w:rsid w:val="0021792E"/>
    <w:rsid w:val="00221956"/>
    <w:rsid w:val="00222FB6"/>
    <w:rsid w:val="00224387"/>
    <w:rsid w:val="00225541"/>
    <w:rsid w:val="00225D80"/>
    <w:rsid w:val="00226159"/>
    <w:rsid w:val="00227B1A"/>
    <w:rsid w:val="00227FA7"/>
    <w:rsid w:val="00230360"/>
    <w:rsid w:val="00230D16"/>
    <w:rsid w:val="002326B0"/>
    <w:rsid w:val="00234D19"/>
    <w:rsid w:val="00234FEB"/>
    <w:rsid w:val="00235C6C"/>
    <w:rsid w:val="002364DF"/>
    <w:rsid w:val="00237338"/>
    <w:rsid w:val="00237820"/>
    <w:rsid w:val="002416C5"/>
    <w:rsid w:val="0024232E"/>
    <w:rsid w:val="00243619"/>
    <w:rsid w:val="002444D0"/>
    <w:rsid w:val="002463CB"/>
    <w:rsid w:val="00247182"/>
    <w:rsid w:val="00247627"/>
    <w:rsid w:val="00247DDF"/>
    <w:rsid w:val="0025011B"/>
    <w:rsid w:val="00250D62"/>
    <w:rsid w:val="002513F7"/>
    <w:rsid w:val="00251A0F"/>
    <w:rsid w:val="002520F3"/>
    <w:rsid w:val="0025250B"/>
    <w:rsid w:val="00253454"/>
    <w:rsid w:val="00255A3C"/>
    <w:rsid w:val="002561E7"/>
    <w:rsid w:val="00256353"/>
    <w:rsid w:val="00256F5E"/>
    <w:rsid w:val="00257D5B"/>
    <w:rsid w:val="0026055D"/>
    <w:rsid w:val="00260741"/>
    <w:rsid w:val="00261429"/>
    <w:rsid w:val="00261794"/>
    <w:rsid w:val="002619FE"/>
    <w:rsid w:val="00261B33"/>
    <w:rsid w:val="00262126"/>
    <w:rsid w:val="00262C50"/>
    <w:rsid w:val="00262D48"/>
    <w:rsid w:val="00263454"/>
    <w:rsid w:val="0026475F"/>
    <w:rsid w:val="00264B80"/>
    <w:rsid w:val="00266FB8"/>
    <w:rsid w:val="00267065"/>
    <w:rsid w:val="00271736"/>
    <w:rsid w:val="00271C4B"/>
    <w:rsid w:val="00272EC0"/>
    <w:rsid w:val="00274074"/>
    <w:rsid w:val="0027494F"/>
    <w:rsid w:val="002774B8"/>
    <w:rsid w:val="002779C5"/>
    <w:rsid w:val="002800D3"/>
    <w:rsid w:val="00280E85"/>
    <w:rsid w:val="0028115C"/>
    <w:rsid w:val="00281B7C"/>
    <w:rsid w:val="0028332D"/>
    <w:rsid w:val="00283AB4"/>
    <w:rsid w:val="00283FC4"/>
    <w:rsid w:val="00284B39"/>
    <w:rsid w:val="00285AD1"/>
    <w:rsid w:val="00285FFF"/>
    <w:rsid w:val="002900CD"/>
    <w:rsid w:val="00290F4A"/>
    <w:rsid w:val="00292F08"/>
    <w:rsid w:val="002930A8"/>
    <w:rsid w:val="002941ED"/>
    <w:rsid w:val="00294B47"/>
    <w:rsid w:val="00295CC0"/>
    <w:rsid w:val="00295E6C"/>
    <w:rsid w:val="00296B19"/>
    <w:rsid w:val="00297075"/>
    <w:rsid w:val="00297D58"/>
    <w:rsid w:val="002A210F"/>
    <w:rsid w:val="002A4894"/>
    <w:rsid w:val="002A74F5"/>
    <w:rsid w:val="002A779E"/>
    <w:rsid w:val="002B0DA2"/>
    <w:rsid w:val="002B1761"/>
    <w:rsid w:val="002B329C"/>
    <w:rsid w:val="002B4462"/>
    <w:rsid w:val="002B4732"/>
    <w:rsid w:val="002B708F"/>
    <w:rsid w:val="002B7ADD"/>
    <w:rsid w:val="002C195C"/>
    <w:rsid w:val="002C200D"/>
    <w:rsid w:val="002C2388"/>
    <w:rsid w:val="002C2782"/>
    <w:rsid w:val="002C358D"/>
    <w:rsid w:val="002C49B1"/>
    <w:rsid w:val="002C4A7D"/>
    <w:rsid w:val="002C4EB3"/>
    <w:rsid w:val="002C5530"/>
    <w:rsid w:val="002C592B"/>
    <w:rsid w:val="002C5CCD"/>
    <w:rsid w:val="002C75DF"/>
    <w:rsid w:val="002C7D76"/>
    <w:rsid w:val="002D08E4"/>
    <w:rsid w:val="002D0DBB"/>
    <w:rsid w:val="002D109D"/>
    <w:rsid w:val="002D1274"/>
    <w:rsid w:val="002D160C"/>
    <w:rsid w:val="002D17DB"/>
    <w:rsid w:val="002D1BAE"/>
    <w:rsid w:val="002D1FA1"/>
    <w:rsid w:val="002D225B"/>
    <w:rsid w:val="002D2760"/>
    <w:rsid w:val="002D2C47"/>
    <w:rsid w:val="002D3166"/>
    <w:rsid w:val="002D4DE0"/>
    <w:rsid w:val="002D4F51"/>
    <w:rsid w:val="002D514C"/>
    <w:rsid w:val="002D573E"/>
    <w:rsid w:val="002E0D8B"/>
    <w:rsid w:val="002E1153"/>
    <w:rsid w:val="002E18BD"/>
    <w:rsid w:val="002E1944"/>
    <w:rsid w:val="002E2632"/>
    <w:rsid w:val="002E3A33"/>
    <w:rsid w:val="002E4C83"/>
    <w:rsid w:val="002E4D53"/>
    <w:rsid w:val="002E566D"/>
    <w:rsid w:val="002E6079"/>
    <w:rsid w:val="002E6A96"/>
    <w:rsid w:val="002E6ACA"/>
    <w:rsid w:val="002E6C3F"/>
    <w:rsid w:val="002E70C8"/>
    <w:rsid w:val="002E7582"/>
    <w:rsid w:val="002E7989"/>
    <w:rsid w:val="002F2127"/>
    <w:rsid w:val="002F2216"/>
    <w:rsid w:val="002F327F"/>
    <w:rsid w:val="002F35ED"/>
    <w:rsid w:val="002F3FCB"/>
    <w:rsid w:val="002F460E"/>
    <w:rsid w:val="002F4AED"/>
    <w:rsid w:val="002F5992"/>
    <w:rsid w:val="002F60F7"/>
    <w:rsid w:val="002F6DBA"/>
    <w:rsid w:val="002F7519"/>
    <w:rsid w:val="0030058F"/>
    <w:rsid w:val="00300BA9"/>
    <w:rsid w:val="0030184C"/>
    <w:rsid w:val="00301D71"/>
    <w:rsid w:val="0030205E"/>
    <w:rsid w:val="00303839"/>
    <w:rsid w:val="003054FD"/>
    <w:rsid w:val="00305E0E"/>
    <w:rsid w:val="00306065"/>
    <w:rsid w:val="00306305"/>
    <w:rsid w:val="00306EF1"/>
    <w:rsid w:val="00307971"/>
    <w:rsid w:val="00310989"/>
    <w:rsid w:val="00310BE7"/>
    <w:rsid w:val="00310C86"/>
    <w:rsid w:val="00310D85"/>
    <w:rsid w:val="00311D38"/>
    <w:rsid w:val="0031243C"/>
    <w:rsid w:val="0031293D"/>
    <w:rsid w:val="00312F83"/>
    <w:rsid w:val="0031341E"/>
    <w:rsid w:val="00313638"/>
    <w:rsid w:val="003142C4"/>
    <w:rsid w:val="00315BEA"/>
    <w:rsid w:val="00315F39"/>
    <w:rsid w:val="0031628D"/>
    <w:rsid w:val="00316439"/>
    <w:rsid w:val="0031668B"/>
    <w:rsid w:val="00317795"/>
    <w:rsid w:val="00317C16"/>
    <w:rsid w:val="00320D11"/>
    <w:rsid w:val="003223D1"/>
    <w:rsid w:val="003229BD"/>
    <w:rsid w:val="003242D6"/>
    <w:rsid w:val="003248A3"/>
    <w:rsid w:val="0032681E"/>
    <w:rsid w:val="003276F7"/>
    <w:rsid w:val="00330167"/>
    <w:rsid w:val="00332649"/>
    <w:rsid w:val="003333B9"/>
    <w:rsid w:val="0033342B"/>
    <w:rsid w:val="003336EC"/>
    <w:rsid w:val="00333AEF"/>
    <w:rsid w:val="003340F3"/>
    <w:rsid w:val="003351DE"/>
    <w:rsid w:val="00335459"/>
    <w:rsid w:val="00335F21"/>
    <w:rsid w:val="003371B0"/>
    <w:rsid w:val="00337BFC"/>
    <w:rsid w:val="00340954"/>
    <w:rsid w:val="00341ED7"/>
    <w:rsid w:val="00342824"/>
    <w:rsid w:val="003442A7"/>
    <w:rsid w:val="00345A16"/>
    <w:rsid w:val="00346C01"/>
    <w:rsid w:val="00347A5B"/>
    <w:rsid w:val="00347C6B"/>
    <w:rsid w:val="0035046F"/>
    <w:rsid w:val="00350AB3"/>
    <w:rsid w:val="003515AA"/>
    <w:rsid w:val="003522A4"/>
    <w:rsid w:val="003524E7"/>
    <w:rsid w:val="00352CF6"/>
    <w:rsid w:val="003532BA"/>
    <w:rsid w:val="00353314"/>
    <w:rsid w:val="00353CC8"/>
    <w:rsid w:val="00353EC3"/>
    <w:rsid w:val="00355241"/>
    <w:rsid w:val="00355357"/>
    <w:rsid w:val="00355974"/>
    <w:rsid w:val="00355D09"/>
    <w:rsid w:val="00356676"/>
    <w:rsid w:val="003566B5"/>
    <w:rsid w:val="00357217"/>
    <w:rsid w:val="00357E70"/>
    <w:rsid w:val="00361E49"/>
    <w:rsid w:val="0036202E"/>
    <w:rsid w:val="00365A24"/>
    <w:rsid w:val="00365E14"/>
    <w:rsid w:val="00366722"/>
    <w:rsid w:val="003675B0"/>
    <w:rsid w:val="0037024B"/>
    <w:rsid w:val="0037115B"/>
    <w:rsid w:val="0037271E"/>
    <w:rsid w:val="00372B88"/>
    <w:rsid w:val="00372E10"/>
    <w:rsid w:val="00373D6A"/>
    <w:rsid w:val="003743DA"/>
    <w:rsid w:val="00375743"/>
    <w:rsid w:val="00380C12"/>
    <w:rsid w:val="00380C5D"/>
    <w:rsid w:val="00382209"/>
    <w:rsid w:val="00382E7F"/>
    <w:rsid w:val="00384AF7"/>
    <w:rsid w:val="00384EAD"/>
    <w:rsid w:val="00384EFD"/>
    <w:rsid w:val="003865D2"/>
    <w:rsid w:val="003872F1"/>
    <w:rsid w:val="00390287"/>
    <w:rsid w:val="0039111F"/>
    <w:rsid w:val="00393587"/>
    <w:rsid w:val="00393675"/>
    <w:rsid w:val="00394846"/>
    <w:rsid w:val="00396E2B"/>
    <w:rsid w:val="003A05F5"/>
    <w:rsid w:val="003A1B99"/>
    <w:rsid w:val="003A2087"/>
    <w:rsid w:val="003A324E"/>
    <w:rsid w:val="003A3BDB"/>
    <w:rsid w:val="003A4413"/>
    <w:rsid w:val="003A5C5A"/>
    <w:rsid w:val="003B0260"/>
    <w:rsid w:val="003B0AC2"/>
    <w:rsid w:val="003B0CEC"/>
    <w:rsid w:val="003B0D1B"/>
    <w:rsid w:val="003B0E78"/>
    <w:rsid w:val="003B17E1"/>
    <w:rsid w:val="003B18D9"/>
    <w:rsid w:val="003B1F3F"/>
    <w:rsid w:val="003B2348"/>
    <w:rsid w:val="003B4CF3"/>
    <w:rsid w:val="003B6874"/>
    <w:rsid w:val="003B75DC"/>
    <w:rsid w:val="003C3762"/>
    <w:rsid w:val="003C4422"/>
    <w:rsid w:val="003C457E"/>
    <w:rsid w:val="003C5905"/>
    <w:rsid w:val="003C6A08"/>
    <w:rsid w:val="003C6E09"/>
    <w:rsid w:val="003C7036"/>
    <w:rsid w:val="003C7DBB"/>
    <w:rsid w:val="003D0D18"/>
    <w:rsid w:val="003D2211"/>
    <w:rsid w:val="003D4165"/>
    <w:rsid w:val="003D7872"/>
    <w:rsid w:val="003E1337"/>
    <w:rsid w:val="003E2D19"/>
    <w:rsid w:val="003E371E"/>
    <w:rsid w:val="003E7FF2"/>
    <w:rsid w:val="003F0A65"/>
    <w:rsid w:val="003F2562"/>
    <w:rsid w:val="003F2849"/>
    <w:rsid w:val="003F2B8D"/>
    <w:rsid w:val="003F3B34"/>
    <w:rsid w:val="003F47C3"/>
    <w:rsid w:val="003F7E12"/>
    <w:rsid w:val="00400446"/>
    <w:rsid w:val="00400862"/>
    <w:rsid w:val="00400C2B"/>
    <w:rsid w:val="0040171D"/>
    <w:rsid w:val="00401C10"/>
    <w:rsid w:val="00402004"/>
    <w:rsid w:val="0040348D"/>
    <w:rsid w:val="0040371E"/>
    <w:rsid w:val="004044D5"/>
    <w:rsid w:val="00405250"/>
    <w:rsid w:val="00405AD1"/>
    <w:rsid w:val="00405FE5"/>
    <w:rsid w:val="0041152E"/>
    <w:rsid w:val="004116A3"/>
    <w:rsid w:val="00411788"/>
    <w:rsid w:val="0041196E"/>
    <w:rsid w:val="00411AC3"/>
    <w:rsid w:val="0041472F"/>
    <w:rsid w:val="0041502A"/>
    <w:rsid w:val="00415499"/>
    <w:rsid w:val="00415CE2"/>
    <w:rsid w:val="004206CB"/>
    <w:rsid w:val="00420CAD"/>
    <w:rsid w:val="00421610"/>
    <w:rsid w:val="0042183E"/>
    <w:rsid w:val="00421DE5"/>
    <w:rsid w:val="00421F5B"/>
    <w:rsid w:val="004223A0"/>
    <w:rsid w:val="00422416"/>
    <w:rsid w:val="004225DE"/>
    <w:rsid w:val="0042371E"/>
    <w:rsid w:val="00424DA2"/>
    <w:rsid w:val="00425A22"/>
    <w:rsid w:val="00425BD8"/>
    <w:rsid w:val="00427FB5"/>
    <w:rsid w:val="00430256"/>
    <w:rsid w:val="0043093C"/>
    <w:rsid w:val="00430FC3"/>
    <w:rsid w:val="004320C7"/>
    <w:rsid w:val="00432210"/>
    <w:rsid w:val="004324DA"/>
    <w:rsid w:val="00432B97"/>
    <w:rsid w:val="00434139"/>
    <w:rsid w:val="00440C5D"/>
    <w:rsid w:val="00441A34"/>
    <w:rsid w:val="00441D5E"/>
    <w:rsid w:val="00441F98"/>
    <w:rsid w:val="004430F0"/>
    <w:rsid w:val="004436D1"/>
    <w:rsid w:val="004443FC"/>
    <w:rsid w:val="004448B4"/>
    <w:rsid w:val="0044522F"/>
    <w:rsid w:val="00445AF4"/>
    <w:rsid w:val="00445C29"/>
    <w:rsid w:val="00445DEF"/>
    <w:rsid w:val="004473FF"/>
    <w:rsid w:val="0044751B"/>
    <w:rsid w:val="00447F6D"/>
    <w:rsid w:val="00450095"/>
    <w:rsid w:val="00450580"/>
    <w:rsid w:val="0045066D"/>
    <w:rsid w:val="00450CAF"/>
    <w:rsid w:val="004520F4"/>
    <w:rsid w:val="0045247D"/>
    <w:rsid w:val="00452B47"/>
    <w:rsid w:val="00453F3C"/>
    <w:rsid w:val="0045405B"/>
    <w:rsid w:val="004559DF"/>
    <w:rsid w:val="0045612E"/>
    <w:rsid w:val="00457810"/>
    <w:rsid w:val="00457993"/>
    <w:rsid w:val="0046124C"/>
    <w:rsid w:val="004617F0"/>
    <w:rsid w:val="00461D95"/>
    <w:rsid w:val="004633A4"/>
    <w:rsid w:val="00463DB8"/>
    <w:rsid w:val="004640DB"/>
    <w:rsid w:val="0046430A"/>
    <w:rsid w:val="004648EB"/>
    <w:rsid w:val="00465416"/>
    <w:rsid w:val="00465C82"/>
    <w:rsid w:val="00466586"/>
    <w:rsid w:val="00470DA8"/>
    <w:rsid w:val="004710D8"/>
    <w:rsid w:val="004738B1"/>
    <w:rsid w:val="004739C2"/>
    <w:rsid w:val="00475F0C"/>
    <w:rsid w:val="004763B0"/>
    <w:rsid w:val="00476EDD"/>
    <w:rsid w:val="004772B7"/>
    <w:rsid w:val="00477B6A"/>
    <w:rsid w:val="00477C1A"/>
    <w:rsid w:val="0048045B"/>
    <w:rsid w:val="00481646"/>
    <w:rsid w:val="00481B2D"/>
    <w:rsid w:val="004845F9"/>
    <w:rsid w:val="004847AF"/>
    <w:rsid w:val="00485AE2"/>
    <w:rsid w:val="00486A6A"/>
    <w:rsid w:val="004870D6"/>
    <w:rsid w:val="00487DF3"/>
    <w:rsid w:val="004914B6"/>
    <w:rsid w:val="004916D5"/>
    <w:rsid w:val="00493B0A"/>
    <w:rsid w:val="00494154"/>
    <w:rsid w:val="00494C1D"/>
    <w:rsid w:val="00495C1B"/>
    <w:rsid w:val="0049725A"/>
    <w:rsid w:val="00497309"/>
    <w:rsid w:val="00497BDB"/>
    <w:rsid w:val="004A4DC8"/>
    <w:rsid w:val="004A51AD"/>
    <w:rsid w:val="004A5845"/>
    <w:rsid w:val="004A609C"/>
    <w:rsid w:val="004A65A6"/>
    <w:rsid w:val="004B0601"/>
    <w:rsid w:val="004B2422"/>
    <w:rsid w:val="004B25D0"/>
    <w:rsid w:val="004B4BA6"/>
    <w:rsid w:val="004B52F8"/>
    <w:rsid w:val="004B6A3A"/>
    <w:rsid w:val="004B6EF8"/>
    <w:rsid w:val="004B735F"/>
    <w:rsid w:val="004B7567"/>
    <w:rsid w:val="004C0F7E"/>
    <w:rsid w:val="004C15E2"/>
    <w:rsid w:val="004C23E9"/>
    <w:rsid w:val="004C441D"/>
    <w:rsid w:val="004C522B"/>
    <w:rsid w:val="004C54BA"/>
    <w:rsid w:val="004C5B6A"/>
    <w:rsid w:val="004C6629"/>
    <w:rsid w:val="004C7022"/>
    <w:rsid w:val="004C7D4B"/>
    <w:rsid w:val="004D0F7E"/>
    <w:rsid w:val="004D26DE"/>
    <w:rsid w:val="004D2A83"/>
    <w:rsid w:val="004D2DBF"/>
    <w:rsid w:val="004D3835"/>
    <w:rsid w:val="004D486F"/>
    <w:rsid w:val="004D4D36"/>
    <w:rsid w:val="004D58EE"/>
    <w:rsid w:val="004D75CD"/>
    <w:rsid w:val="004E4A0D"/>
    <w:rsid w:val="004E5792"/>
    <w:rsid w:val="004E5913"/>
    <w:rsid w:val="004E688A"/>
    <w:rsid w:val="004E6F7E"/>
    <w:rsid w:val="004F1A08"/>
    <w:rsid w:val="004F289A"/>
    <w:rsid w:val="004F3805"/>
    <w:rsid w:val="004F3A82"/>
    <w:rsid w:val="004F70F7"/>
    <w:rsid w:val="00500BD7"/>
    <w:rsid w:val="00500DF8"/>
    <w:rsid w:val="00501372"/>
    <w:rsid w:val="00501729"/>
    <w:rsid w:val="00501974"/>
    <w:rsid w:val="00502216"/>
    <w:rsid w:val="0050309B"/>
    <w:rsid w:val="005030EB"/>
    <w:rsid w:val="00503E99"/>
    <w:rsid w:val="00504573"/>
    <w:rsid w:val="00505663"/>
    <w:rsid w:val="00506421"/>
    <w:rsid w:val="005109AD"/>
    <w:rsid w:val="00510A11"/>
    <w:rsid w:val="00510CD0"/>
    <w:rsid w:val="00511317"/>
    <w:rsid w:val="005121DB"/>
    <w:rsid w:val="00512364"/>
    <w:rsid w:val="00512CFB"/>
    <w:rsid w:val="00512DA2"/>
    <w:rsid w:val="00513AC8"/>
    <w:rsid w:val="005143D6"/>
    <w:rsid w:val="00514A29"/>
    <w:rsid w:val="00514DDA"/>
    <w:rsid w:val="00516923"/>
    <w:rsid w:val="00516B04"/>
    <w:rsid w:val="0052001A"/>
    <w:rsid w:val="00521B0E"/>
    <w:rsid w:val="0052247F"/>
    <w:rsid w:val="005242F4"/>
    <w:rsid w:val="005243CE"/>
    <w:rsid w:val="00524B56"/>
    <w:rsid w:val="00524EB4"/>
    <w:rsid w:val="00525433"/>
    <w:rsid w:val="00525524"/>
    <w:rsid w:val="005262EB"/>
    <w:rsid w:val="00526AB8"/>
    <w:rsid w:val="00530B72"/>
    <w:rsid w:val="00530CA9"/>
    <w:rsid w:val="005336EA"/>
    <w:rsid w:val="00535AA6"/>
    <w:rsid w:val="00536A7D"/>
    <w:rsid w:val="00537248"/>
    <w:rsid w:val="005375EF"/>
    <w:rsid w:val="00537779"/>
    <w:rsid w:val="005400A7"/>
    <w:rsid w:val="005401D1"/>
    <w:rsid w:val="00540317"/>
    <w:rsid w:val="00540A8A"/>
    <w:rsid w:val="00540EB8"/>
    <w:rsid w:val="00541027"/>
    <w:rsid w:val="00541EF4"/>
    <w:rsid w:val="00542165"/>
    <w:rsid w:val="005443CB"/>
    <w:rsid w:val="00544B27"/>
    <w:rsid w:val="0054513D"/>
    <w:rsid w:val="005452B5"/>
    <w:rsid w:val="00545BD1"/>
    <w:rsid w:val="005465C2"/>
    <w:rsid w:val="005466D9"/>
    <w:rsid w:val="00547311"/>
    <w:rsid w:val="00551CBF"/>
    <w:rsid w:val="00552952"/>
    <w:rsid w:val="00553F36"/>
    <w:rsid w:val="00554E1F"/>
    <w:rsid w:val="0055657E"/>
    <w:rsid w:val="005575DC"/>
    <w:rsid w:val="00557916"/>
    <w:rsid w:val="00561A5B"/>
    <w:rsid w:val="00561DDD"/>
    <w:rsid w:val="005620A1"/>
    <w:rsid w:val="00562F35"/>
    <w:rsid w:val="00563356"/>
    <w:rsid w:val="00563C8C"/>
    <w:rsid w:val="005643B2"/>
    <w:rsid w:val="00564A10"/>
    <w:rsid w:val="0056519A"/>
    <w:rsid w:val="00565318"/>
    <w:rsid w:val="00565914"/>
    <w:rsid w:val="00565A70"/>
    <w:rsid w:val="00565A8B"/>
    <w:rsid w:val="005666F1"/>
    <w:rsid w:val="005707EF"/>
    <w:rsid w:val="00571588"/>
    <w:rsid w:val="00571959"/>
    <w:rsid w:val="0057317C"/>
    <w:rsid w:val="00574070"/>
    <w:rsid w:val="00576B54"/>
    <w:rsid w:val="00581022"/>
    <w:rsid w:val="00581A30"/>
    <w:rsid w:val="005827FE"/>
    <w:rsid w:val="00582A81"/>
    <w:rsid w:val="00582DBC"/>
    <w:rsid w:val="00584865"/>
    <w:rsid w:val="00585D8F"/>
    <w:rsid w:val="00585DC9"/>
    <w:rsid w:val="005868BB"/>
    <w:rsid w:val="005877EF"/>
    <w:rsid w:val="0059004E"/>
    <w:rsid w:val="00590826"/>
    <w:rsid w:val="00590EFB"/>
    <w:rsid w:val="00592A1F"/>
    <w:rsid w:val="00594088"/>
    <w:rsid w:val="00594373"/>
    <w:rsid w:val="0059681F"/>
    <w:rsid w:val="005A0386"/>
    <w:rsid w:val="005A0822"/>
    <w:rsid w:val="005A2378"/>
    <w:rsid w:val="005A2A3E"/>
    <w:rsid w:val="005A3E8D"/>
    <w:rsid w:val="005A5135"/>
    <w:rsid w:val="005A567F"/>
    <w:rsid w:val="005A5AC7"/>
    <w:rsid w:val="005A6ABF"/>
    <w:rsid w:val="005A75F2"/>
    <w:rsid w:val="005A76C5"/>
    <w:rsid w:val="005B0C0F"/>
    <w:rsid w:val="005B1524"/>
    <w:rsid w:val="005B1942"/>
    <w:rsid w:val="005B1E9D"/>
    <w:rsid w:val="005B34A3"/>
    <w:rsid w:val="005B34DD"/>
    <w:rsid w:val="005B45D8"/>
    <w:rsid w:val="005B4FCD"/>
    <w:rsid w:val="005B78E6"/>
    <w:rsid w:val="005C00A6"/>
    <w:rsid w:val="005C064A"/>
    <w:rsid w:val="005C1A8F"/>
    <w:rsid w:val="005C1B0D"/>
    <w:rsid w:val="005C2158"/>
    <w:rsid w:val="005C455F"/>
    <w:rsid w:val="005C7E67"/>
    <w:rsid w:val="005D189A"/>
    <w:rsid w:val="005D2538"/>
    <w:rsid w:val="005D2DF2"/>
    <w:rsid w:val="005D3A75"/>
    <w:rsid w:val="005D518D"/>
    <w:rsid w:val="005D57FB"/>
    <w:rsid w:val="005D678D"/>
    <w:rsid w:val="005D6ECD"/>
    <w:rsid w:val="005E00C0"/>
    <w:rsid w:val="005E17FC"/>
    <w:rsid w:val="005E1868"/>
    <w:rsid w:val="005E18FE"/>
    <w:rsid w:val="005E1C10"/>
    <w:rsid w:val="005E2268"/>
    <w:rsid w:val="005E360F"/>
    <w:rsid w:val="005E4BCD"/>
    <w:rsid w:val="005E5D5F"/>
    <w:rsid w:val="005E626F"/>
    <w:rsid w:val="005E65F8"/>
    <w:rsid w:val="005E782E"/>
    <w:rsid w:val="005E7C78"/>
    <w:rsid w:val="005F3C6E"/>
    <w:rsid w:val="005F41B3"/>
    <w:rsid w:val="005F45F9"/>
    <w:rsid w:val="005F5FAD"/>
    <w:rsid w:val="005F60B8"/>
    <w:rsid w:val="00605D49"/>
    <w:rsid w:val="00606048"/>
    <w:rsid w:val="00606E37"/>
    <w:rsid w:val="006077D0"/>
    <w:rsid w:val="00610C79"/>
    <w:rsid w:val="006111A9"/>
    <w:rsid w:val="006120D4"/>
    <w:rsid w:val="00613B19"/>
    <w:rsid w:val="006146F1"/>
    <w:rsid w:val="006165B1"/>
    <w:rsid w:val="00616B61"/>
    <w:rsid w:val="0062090D"/>
    <w:rsid w:val="00620B84"/>
    <w:rsid w:val="006210E2"/>
    <w:rsid w:val="0062134B"/>
    <w:rsid w:val="00622E98"/>
    <w:rsid w:val="0062444A"/>
    <w:rsid w:val="00627789"/>
    <w:rsid w:val="00627C0D"/>
    <w:rsid w:val="00632323"/>
    <w:rsid w:val="00632C54"/>
    <w:rsid w:val="006339B2"/>
    <w:rsid w:val="00633BBA"/>
    <w:rsid w:val="00634D20"/>
    <w:rsid w:val="00634D74"/>
    <w:rsid w:val="00636D95"/>
    <w:rsid w:val="00637049"/>
    <w:rsid w:val="00637244"/>
    <w:rsid w:val="00637752"/>
    <w:rsid w:val="00637A52"/>
    <w:rsid w:val="00641EE9"/>
    <w:rsid w:val="0064237E"/>
    <w:rsid w:val="006431C9"/>
    <w:rsid w:val="006433B2"/>
    <w:rsid w:val="00643987"/>
    <w:rsid w:val="00643FC1"/>
    <w:rsid w:val="00644AB6"/>
    <w:rsid w:val="0064501F"/>
    <w:rsid w:val="00645C24"/>
    <w:rsid w:val="00645F71"/>
    <w:rsid w:val="00646132"/>
    <w:rsid w:val="0064617E"/>
    <w:rsid w:val="0064651F"/>
    <w:rsid w:val="00651347"/>
    <w:rsid w:val="00652469"/>
    <w:rsid w:val="00652539"/>
    <w:rsid w:val="006525BE"/>
    <w:rsid w:val="0065290B"/>
    <w:rsid w:val="00654A50"/>
    <w:rsid w:val="00654FAF"/>
    <w:rsid w:val="00657369"/>
    <w:rsid w:val="00660414"/>
    <w:rsid w:val="0066152E"/>
    <w:rsid w:val="006615A6"/>
    <w:rsid w:val="006619A2"/>
    <w:rsid w:val="00662F3E"/>
    <w:rsid w:val="00664165"/>
    <w:rsid w:val="00664435"/>
    <w:rsid w:val="00664E7A"/>
    <w:rsid w:val="00665B2B"/>
    <w:rsid w:val="00666540"/>
    <w:rsid w:val="006711DC"/>
    <w:rsid w:val="0067147D"/>
    <w:rsid w:val="00671E07"/>
    <w:rsid w:val="00672318"/>
    <w:rsid w:val="006737A5"/>
    <w:rsid w:val="00675476"/>
    <w:rsid w:val="00676925"/>
    <w:rsid w:val="0067778C"/>
    <w:rsid w:val="0068241D"/>
    <w:rsid w:val="006824D7"/>
    <w:rsid w:val="006829B1"/>
    <w:rsid w:val="00682AF7"/>
    <w:rsid w:val="0068444D"/>
    <w:rsid w:val="0068553F"/>
    <w:rsid w:val="00685DAE"/>
    <w:rsid w:val="00686859"/>
    <w:rsid w:val="00693DF3"/>
    <w:rsid w:val="00695303"/>
    <w:rsid w:val="006969F1"/>
    <w:rsid w:val="00696B17"/>
    <w:rsid w:val="006A06D8"/>
    <w:rsid w:val="006A0C8B"/>
    <w:rsid w:val="006A13D9"/>
    <w:rsid w:val="006A33DF"/>
    <w:rsid w:val="006A3443"/>
    <w:rsid w:val="006A3A80"/>
    <w:rsid w:val="006A3EB0"/>
    <w:rsid w:val="006A72A9"/>
    <w:rsid w:val="006A7DDE"/>
    <w:rsid w:val="006A7E0D"/>
    <w:rsid w:val="006B0650"/>
    <w:rsid w:val="006B38D0"/>
    <w:rsid w:val="006B41A4"/>
    <w:rsid w:val="006B4645"/>
    <w:rsid w:val="006B48DB"/>
    <w:rsid w:val="006B5865"/>
    <w:rsid w:val="006B6293"/>
    <w:rsid w:val="006B6C32"/>
    <w:rsid w:val="006B7025"/>
    <w:rsid w:val="006B76D4"/>
    <w:rsid w:val="006C0741"/>
    <w:rsid w:val="006C094A"/>
    <w:rsid w:val="006C238A"/>
    <w:rsid w:val="006C2D53"/>
    <w:rsid w:val="006C2F90"/>
    <w:rsid w:val="006C3A5A"/>
    <w:rsid w:val="006C40FE"/>
    <w:rsid w:val="006C5C3C"/>
    <w:rsid w:val="006C7283"/>
    <w:rsid w:val="006C7C76"/>
    <w:rsid w:val="006D08A0"/>
    <w:rsid w:val="006D0B08"/>
    <w:rsid w:val="006D3032"/>
    <w:rsid w:val="006D46EF"/>
    <w:rsid w:val="006D51EA"/>
    <w:rsid w:val="006D55B5"/>
    <w:rsid w:val="006D5900"/>
    <w:rsid w:val="006D649C"/>
    <w:rsid w:val="006D7E72"/>
    <w:rsid w:val="006E10AB"/>
    <w:rsid w:val="006E1C40"/>
    <w:rsid w:val="006E2342"/>
    <w:rsid w:val="006E27FC"/>
    <w:rsid w:val="006E34E6"/>
    <w:rsid w:val="006E45D8"/>
    <w:rsid w:val="006E6719"/>
    <w:rsid w:val="006E6C1F"/>
    <w:rsid w:val="006E6C8E"/>
    <w:rsid w:val="006E7541"/>
    <w:rsid w:val="006E7787"/>
    <w:rsid w:val="006E7954"/>
    <w:rsid w:val="006E7E7E"/>
    <w:rsid w:val="006F03E1"/>
    <w:rsid w:val="006F221C"/>
    <w:rsid w:val="006F25B4"/>
    <w:rsid w:val="006F479F"/>
    <w:rsid w:val="006F49D5"/>
    <w:rsid w:val="006F4AC0"/>
    <w:rsid w:val="006F55CC"/>
    <w:rsid w:val="006F608E"/>
    <w:rsid w:val="006F6BC7"/>
    <w:rsid w:val="006F7973"/>
    <w:rsid w:val="006F7A04"/>
    <w:rsid w:val="0070002D"/>
    <w:rsid w:val="007015D5"/>
    <w:rsid w:val="00702474"/>
    <w:rsid w:val="00702732"/>
    <w:rsid w:val="00702919"/>
    <w:rsid w:val="00702C59"/>
    <w:rsid w:val="00702C69"/>
    <w:rsid w:val="00702E73"/>
    <w:rsid w:val="00704C44"/>
    <w:rsid w:val="00704D47"/>
    <w:rsid w:val="00704F37"/>
    <w:rsid w:val="00705351"/>
    <w:rsid w:val="0070589F"/>
    <w:rsid w:val="007071B1"/>
    <w:rsid w:val="007071DC"/>
    <w:rsid w:val="007076A3"/>
    <w:rsid w:val="00710337"/>
    <w:rsid w:val="007118E2"/>
    <w:rsid w:val="007129E6"/>
    <w:rsid w:val="00712CB3"/>
    <w:rsid w:val="00713A1D"/>
    <w:rsid w:val="00713CBC"/>
    <w:rsid w:val="00714D4B"/>
    <w:rsid w:val="00715972"/>
    <w:rsid w:val="00715F86"/>
    <w:rsid w:val="00716959"/>
    <w:rsid w:val="00717859"/>
    <w:rsid w:val="00717C4F"/>
    <w:rsid w:val="00720287"/>
    <w:rsid w:val="0072092A"/>
    <w:rsid w:val="00720F54"/>
    <w:rsid w:val="00722F22"/>
    <w:rsid w:val="00723662"/>
    <w:rsid w:val="007238E4"/>
    <w:rsid w:val="00723B04"/>
    <w:rsid w:val="00724C44"/>
    <w:rsid w:val="007305DA"/>
    <w:rsid w:val="007306B1"/>
    <w:rsid w:val="00730A63"/>
    <w:rsid w:val="007339F1"/>
    <w:rsid w:val="00733A7E"/>
    <w:rsid w:val="00733A96"/>
    <w:rsid w:val="00734ED8"/>
    <w:rsid w:val="007353A5"/>
    <w:rsid w:val="00735D4C"/>
    <w:rsid w:val="0073647D"/>
    <w:rsid w:val="00742AC6"/>
    <w:rsid w:val="00743230"/>
    <w:rsid w:val="00743667"/>
    <w:rsid w:val="007441C0"/>
    <w:rsid w:val="00745548"/>
    <w:rsid w:val="00750752"/>
    <w:rsid w:val="007549DD"/>
    <w:rsid w:val="007558E8"/>
    <w:rsid w:val="0075595B"/>
    <w:rsid w:val="00756D63"/>
    <w:rsid w:val="00756D94"/>
    <w:rsid w:val="0076009F"/>
    <w:rsid w:val="00760241"/>
    <w:rsid w:val="00761045"/>
    <w:rsid w:val="00761765"/>
    <w:rsid w:val="007619AD"/>
    <w:rsid w:val="007622DD"/>
    <w:rsid w:val="00762F34"/>
    <w:rsid w:val="0076342F"/>
    <w:rsid w:val="00763AEF"/>
    <w:rsid w:val="00764031"/>
    <w:rsid w:val="00764563"/>
    <w:rsid w:val="00765191"/>
    <w:rsid w:val="00765288"/>
    <w:rsid w:val="007655DE"/>
    <w:rsid w:val="00765BD2"/>
    <w:rsid w:val="007661E8"/>
    <w:rsid w:val="0076700D"/>
    <w:rsid w:val="0076771C"/>
    <w:rsid w:val="00767C4C"/>
    <w:rsid w:val="00767DC3"/>
    <w:rsid w:val="00770013"/>
    <w:rsid w:val="00770A3B"/>
    <w:rsid w:val="0077119E"/>
    <w:rsid w:val="007712D4"/>
    <w:rsid w:val="007716D0"/>
    <w:rsid w:val="00772FC6"/>
    <w:rsid w:val="00774EB3"/>
    <w:rsid w:val="007762C2"/>
    <w:rsid w:val="0077729C"/>
    <w:rsid w:val="00777856"/>
    <w:rsid w:val="00780746"/>
    <w:rsid w:val="00782350"/>
    <w:rsid w:val="007825E5"/>
    <w:rsid w:val="00782EF0"/>
    <w:rsid w:val="007861C5"/>
    <w:rsid w:val="00786862"/>
    <w:rsid w:val="00787171"/>
    <w:rsid w:val="007873E8"/>
    <w:rsid w:val="00787FAC"/>
    <w:rsid w:val="00791913"/>
    <w:rsid w:val="00794D1F"/>
    <w:rsid w:val="007959AB"/>
    <w:rsid w:val="00796CB6"/>
    <w:rsid w:val="007972CC"/>
    <w:rsid w:val="007A0AFF"/>
    <w:rsid w:val="007A12C3"/>
    <w:rsid w:val="007A28AA"/>
    <w:rsid w:val="007A2CE7"/>
    <w:rsid w:val="007A49A6"/>
    <w:rsid w:val="007A520D"/>
    <w:rsid w:val="007A6632"/>
    <w:rsid w:val="007A67C5"/>
    <w:rsid w:val="007A7756"/>
    <w:rsid w:val="007A7A2A"/>
    <w:rsid w:val="007A7CDF"/>
    <w:rsid w:val="007B0A75"/>
    <w:rsid w:val="007B283B"/>
    <w:rsid w:val="007B288A"/>
    <w:rsid w:val="007B2C44"/>
    <w:rsid w:val="007B3316"/>
    <w:rsid w:val="007B35B0"/>
    <w:rsid w:val="007B3A36"/>
    <w:rsid w:val="007B3D8A"/>
    <w:rsid w:val="007B649D"/>
    <w:rsid w:val="007B75A8"/>
    <w:rsid w:val="007B78D8"/>
    <w:rsid w:val="007C0B5D"/>
    <w:rsid w:val="007C32F0"/>
    <w:rsid w:val="007C506F"/>
    <w:rsid w:val="007D0AB6"/>
    <w:rsid w:val="007D2D41"/>
    <w:rsid w:val="007D392A"/>
    <w:rsid w:val="007D3F8E"/>
    <w:rsid w:val="007D5A45"/>
    <w:rsid w:val="007D5DB0"/>
    <w:rsid w:val="007D5E28"/>
    <w:rsid w:val="007D608D"/>
    <w:rsid w:val="007E29A7"/>
    <w:rsid w:val="007E3651"/>
    <w:rsid w:val="007E39E2"/>
    <w:rsid w:val="007E4239"/>
    <w:rsid w:val="007E5159"/>
    <w:rsid w:val="007E51DD"/>
    <w:rsid w:val="007E5A0C"/>
    <w:rsid w:val="007E5CB6"/>
    <w:rsid w:val="007F2065"/>
    <w:rsid w:val="007F2E78"/>
    <w:rsid w:val="007F2F15"/>
    <w:rsid w:val="007F3933"/>
    <w:rsid w:val="007F39FD"/>
    <w:rsid w:val="007F43BB"/>
    <w:rsid w:val="007F6815"/>
    <w:rsid w:val="007F70B7"/>
    <w:rsid w:val="007F7153"/>
    <w:rsid w:val="007F72F1"/>
    <w:rsid w:val="008000AB"/>
    <w:rsid w:val="0080073B"/>
    <w:rsid w:val="008019EB"/>
    <w:rsid w:val="00801D1B"/>
    <w:rsid w:val="00802081"/>
    <w:rsid w:val="008025A5"/>
    <w:rsid w:val="00803F1D"/>
    <w:rsid w:val="00804630"/>
    <w:rsid w:val="00804898"/>
    <w:rsid w:val="008051AC"/>
    <w:rsid w:val="00805D86"/>
    <w:rsid w:val="008064AC"/>
    <w:rsid w:val="00807055"/>
    <w:rsid w:val="008074B3"/>
    <w:rsid w:val="00807741"/>
    <w:rsid w:val="00807983"/>
    <w:rsid w:val="00807FE8"/>
    <w:rsid w:val="00810C57"/>
    <w:rsid w:val="00811523"/>
    <w:rsid w:val="0081155F"/>
    <w:rsid w:val="008145C2"/>
    <w:rsid w:val="00814E0F"/>
    <w:rsid w:val="008150F2"/>
    <w:rsid w:val="0081581D"/>
    <w:rsid w:val="008168F2"/>
    <w:rsid w:val="00817817"/>
    <w:rsid w:val="00821957"/>
    <w:rsid w:val="00821F0D"/>
    <w:rsid w:val="008227DE"/>
    <w:rsid w:val="00822C16"/>
    <w:rsid w:val="00823E65"/>
    <w:rsid w:val="00824402"/>
    <w:rsid w:val="0082449E"/>
    <w:rsid w:val="008257B0"/>
    <w:rsid w:val="0082595C"/>
    <w:rsid w:val="008262F5"/>
    <w:rsid w:val="0082637D"/>
    <w:rsid w:val="0083082D"/>
    <w:rsid w:val="00831D0D"/>
    <w:rsid w:val="00832BF5"/>
    <w:rsid w:val="00833190"/>
    <w:rsid w:val="00834225"/>
    <w:rsid w:val="00835AB9"/>
    <w:rsid w:val="008376F1"/>
    <w:rsid w:val="00842612"/>
    <w:rsid w:val="00842E3C"/>
    <w:rsid w:val="0084325D"/>
    <w:rsid w:val="00844186"/>
    <w:rsid w:val="00845BDC"/>
    <w:rsid w:val="0084681C"/>
    <w:rsid w:val="008470CB"/>
    <w:rsid w:val="00847B94"/>
    <w:rsid w:val="00847EDF"/>
    <w:rsid w:val="00850E0A"/>
    <w:rsid w:val="00850E62"/>
    <w:rsid w:val="00851D37"/>
    <w:rsid w:val="008522BE"/>
    <w:rsid w:val="00852546"/>
    <w:rsid w:val="008540FD"/>
    <w:rsid w:val="00855265"/>
    <w:rsid w:val="00856119"/>
    <w:rsid w:val="0085620C"/>
    <w:rsid w:val="00856291"/>
    <w:rsid w:val="008563A2"/>
    <w:rsid w:val="008576C5"/>
    <w:rsid w:val="00857EF7"/>
    <w:rsid w:val="00860374"/>
    <w:rsid w:val="008603A0"/>
    <w:rsid w:val="008606F5"/>
    <w:rsid w:val="0086099B"/>
    <w:rsid w:val="00860B8D"/>
    <w:rsid w:val="008639DD"/>
    <w:rsid w:val="00865ABD"/>
    <w:rsid w:val="00866868"/>
    <w:rsid w:val="0086798C"/>
    <w:rsid w:val="00867A8D"/>
    <w:rsid w:val="0087221E"/>
    <w:rsid w:val="008723A5"/>
    <w:rsid w:val="00874A85"/>
    <w:rsid w:val="00875C9B"/>
    <w:rsid w:val="00876125"/>
    <w:rsid w:val="00876E55"/>
    <w:rsid w:val="008772E5"/>
    <w:rsid w:val="00880A8A"/>
    <w:rsid w:val="00882815"/>
    <w:rsid w:val="00883621"/>
    <w:rsid w:val="00885F86"/>
    <w:rsid w:val="008862DC"/>
    <w:rsid w:val="00887632"/>
    <w:rsid w:val="00887EDE"/>
    <w:rsid w:val="008940FB"/>
    <w:rsid w:val="00894855"/>
    <w:rsid w:val="00894ACA"/>
    <w:rsid w:val="00895A7C"/>
    <w:rsid w:val="00895BCD"/>
    <w:rsid w:val="00896B8B"/>
    <w:rsid w:val="008A43B1"/>
    <w:rsid w:val="008A4F7D"/>
    <w:rsid w:val="008A6AAD"/>
    <w:rsid w:val="008B1D54"/>
    <w:rsid w:val="008B208B"/>
    <w:rsid w:val="008B21DF"/>
    <w:rsid w:val="008B266F"/>
    <w:rsid w:val="008B4CB1"/>
    <w:rsid w:val="008B5CD3"/>
    <w:rsid w:val="008B670A"/>
    <w:rsid w:val="008B6987"/>
    <w:rsid w:val="008B6A54"/>
    <w:rsid w:val="008B6AC4"/>
    <w:rsid w:val="008B6CF6"/>
    <w:rsid w:val="008B76C9"/>
    <w:rsid w:val="008B7C9C"/>
    <w:rsid w:val="008C0AA4"/>
    <w:rsid w:val="008C0E52"/>
    <w:rsid w:val="008C1496"/>
    <w:rsid w:val="008C177F"/>
    <w:rsid w:val="008C1C5B"/>
    <w:rsid w:val="008C4168"/>
    <w:rsid w:val="008C43FD"/>
    <w:rsid w:val="008C44E2"/>
    <w:rsid w:val="008C5528"/>
    <w:rsid w:val="008C6288"/>
    <w:rsid w:val="008C679A"/>
    <w:rsid w:val="008C7900"/>
    <w:rsid w:val="008D03EC"/>
    <w:rsid w:val="008D045C"/>
    <w:rsid w:val="008D06A0"/>
    <w:rsid w:val="008D0C63"/>
    <w:rsid w:val="008D1F4C"/>
    <w:rsid w:val="008D38D5"/>
    <w:rsid w:val="008D38F9"/>
    <w:rsid w:val="008D45CB"/>
    <w:rsid w:val="008D45FD"/>
    <w:rsid w:val="008D4D16"/>
    <w:rsid w:val="008D4E6B"/>
    <w:rsid w:val="008D55A6"/>
    <w:rsid w:val="008D6C80"/>
    <w:rsid w:val="008E1BF3"/>
    <w:rsid w:val="008E22EC"/>
    <w:rsid w:val="008E2E27"/>
    <w:rsid w:val="008E5E15"/>
    <w:rsid w:val="008E6DF2"/>
    <w:rsid w:val="008E6F97"/>
    <w:rsid w:val="008E7662"/>
    <w:rsid w:val="008E7C06"/>
    <w:rsid w:val="008F0F06"/>
    <w:rsid w:val="008F1316"/>
    <w:rsid w:val="008F2346"/>
    <w:rsid w:val="008F2560"/>
    <w:rsid w:val="008F3343"/>
    <w:rsid w:val="008F4538"/>
    <w:rsid w:val="008F52B7"/>
    <w:rsid w:val="008F5C41"/>
    <w:rsid w:val="008F6034"/>
    <w:rsid w:val="008F760E"/>
    <w:rsid w:val="00900DBB"/>
    <w:rsid w:val="00900E6A"/>
    <w:rsid w:val="00902D61"/>
    <w:rsid w:val="0090461C"/>
    <w:rsid w:val="00905B88"/>
    <w:rsid w:val="00907479"/>
    <w:rsid w:val="00907C1B"/>
    <w:rsid w:val="0091182E"/>
    <w:rsid w:val="009119A0"/>
    <w:rsid w:val="009130FE"/>
    <w:rsid w:val="00913447"/>
    <w:rsid w:val="0091429B"/>
    <w:rsid w:val="00914A73"/>
    <w:rsid w:val="0091524E"/>
    <w:rsid w:val="009170F9"/>
    <w:rsid w:val="00917F6F"/>
    <w:rsid w:val="009203AC"/>
    <w:rsid w:val="00922EAF"/>
    <w:rsid w:val="00923A79"/>
    <w:rsid w:val="00924381"/>
    <w:rsid w:val="0092482D"/>
    <w:rsid w:val="00926084"/>
    <w:rsid w:val="00926CC2"/>
    <w:rsid w:val="0092741E"/>
    <w:rsid w:val="009278DD"/>
    <w:rsid w:val="00931BC9"/>
    <w:rsid w:val="00931EFC"/>
    <w:rsid w:val="00932A86"/>
    <w:rsid w:val="00932ED5"/>
    <w:rsid w:val="009350A7"/>
    <w:rsid w:val="0093592F"/>
    <w:rsid w:val="009361CB"/>
    <w:rsid w:val="009379FD"/>
    <w:rsid w:val="00937CF5"/>
    <w:rsid w:val="00940262"/>
    <w:rsid w:val="00940686"/>
    <w:rsid w:val="00940B6D"/>
    <w:rsid w:val="00940F1E"/>
    <w:rsid w:val="009415DA"/>
    <w:rsid w:val="009423CE"/>
    <w:rsid w:val="00942B44"/>
    <w:rsid w:val="0094421F"/>
    <w:rsid w:val="00946181"/>
    <w:rsid w:val="00946EEA"/>
    <w:rsid w:val="00947647"/>
    <w:rsid w:val="00950140"/>
    <w:rsid w:val="00950E9E"/>
    <w:rsid w:val="009511E6"/>
    <w:rsid w:val="00951421"/>
    <w:rsid w:val="00951F0A"/>
    <w:rsid w:val="00951FD0"/>
    <w:rsid w:val="0095407C"/>
    <w:rsid w:val="00954675"/>
    <w:rsid w:val="00956863"/>
    <w:rsid w:val="00956FF3"/>
    <w:rsid w:val="00957BA9"/>
    <w:rsid w:val="00960BFB"/>
    <w:rsid w:val="0096168C"/>
    <w:rsid w:val="00961B1B"/>
    <w:rsid w:val="00962741"/>
    <w:rsid w:val="0096402F"/>
    <w:rsid w:val="0096481E"/>
    <w:rsid w:val="0096574A"/>
    <w:rsid w:val="00966203"/>
    <w:rsid w:val="009677AA"/>
    <w:rsid w:val="009712D8"/>
    <w:rsid w:val="0097210A"/>
    <w:rsid w:val="00972FC5"/>
    <w:rsid w:val="00973249"/>
    <w:rsid w:val="00973BA7"/>
    <w:rsid w:val="00976802"/>
    <w:rsid w:val="00981A1D"/>
    <w:rsid w:val="00981BBB"/>
    <w:rsid w:val="00982541"/>
    <w:rsid w:val="009829CF"/>
    <w:rsid w:val="00984990"/>
    <w:rsid w:val="00984AF0"/>
    <w:rsid w:val="0098654B"/>
    <w:rsid w:val="0098736D"/>
    <w:rsid w:val="009912D8"/>
    <w:rsid w:val="00991AC1"/>
    <w:rsid w:val="00993875"/>
    <w:rsid w:val="009940EA"/>
    <w:rsid w:val="00995B42"/>
    <w:rsid w:val="00996145"/>
    <w:rsid w:val="00996BC2"/>
    <w:rsid w:val="00996D9C"/>
    <w:rsid w:val="009974DF"/>
    <w:rsid w:val="009A06EB"/>
    <w:rsid w:val="009A0C17"/>
    <w:rsid w:val="009A1EC1"/>
    <w:rsid w:val="009A2A5F"/>
    <w:rsid w:val="009A415A"/>
    <w:rsid w:val="009A4312"/>
    <w:rsid w:val="009A4B81"/>
    <w:rsid w:val="009A5021"/>
    <w:rsid w:val="009A5E4F"/>
    <w:rsid w:val="009A689C"/>
    <w:rsid w:val="009A71A7"/>
    <w:rsid w:val="009B11E2"/>
    <w:rsid w:val="009B29A3"/>
    <w:rsid w:val="009B2A10"/>
    <w:rsid w:val="009B2AAB"/>
    <w:rsid w:val="009B2CDA"/>
    <w:rsid w:val="009B3C05"/>
    <w:rsid w:val="009B4A7B"/>
    <w:rsid w:val="009B61BB"/>
    <w:rsid w:val="009B62B0"/>
    <w:rsid w:val="009B65B6"/>
    <w:rsid w:val="009B7B58"/>
    <w:rsid w:val="009C0CE1"/>
    <w:rsid w:val="009C1966"/>
    <w:rsid w:val="009C22BF"/>
    <w:rsid w:val="009C360E"/>
    <w:rsid w:val="009C4311"/>
    <w:rsid w:val="009C47AB"/>
    <w:rsid w:val="009C4971"/>
    <w:rsid w:val="009C4E34"/>
    <w:rsid w:val="009C53CA"/>
    <w:rsid w:val="009C58BB"/>
    <w:rsid w:val="009C686B"/>
    <w:rsid w:val="009C7330"/>
    <w:rsid w:val="009D04E5"/>
    <w:rsid w:val="009D1566"/>
    <w:rsid w:val="009D1F8A"/>
    <w:rsid w:val="009D286C"/>
    <w:rsid w:val="009D453D"/>
    <w:rsid w:val="009D4C6F"/>
    <w:rsid w:val="009D5111"/>
    <w:rsid w:val="009D7689"/>
    <w:rsid w:val="009E10C3"/>
    <w:rsid w:val="009E10F1"/>
    <w:rsid w:val="009E4274"/>
    <w:rsid w:val="009E4F94"/>
    <w:rsid w:val="009E546A"/>
    <w:rsid w:val="009E60DF"/>
    <w:rsid w:val="009E6497"/>
    <w:rsid w:val="009E6A8D"/>
    <w:rsid w:val="009E6AD4"/>
    <w:rsid w:val="009E6EF3"/>
    <w:rsid w:val="009E780B"/>
    <w:rsid w:val="009E785B"/>
    <w:rsid w:val="009F0931"/>
    <w:rsid w:val="009F0E65"/>
    <w:rsid w:val="009F292E"/>
    <w:rsid w:val="009F372E"/>
    <w:rsid w:val="009F43EB"/>
    <w:rsid w:val="009F66B0"/>
    <w:rsid w:val="00A0141C"/>
    <w:rsid w:val="00A01936"/>
    <w:rsid w:val="00A01E90"/>
    <w:rsid w:val="00A0253B"/>
    <w:rsid w:val="00A03224"/>
    <w:rsid w:val="00A0447F"/>
    <w:rsid w:val="00A05400"/>
    <w:rsid w:val="00A0625D"/>
    <w:rsid w:val="00A07D01"/>
    <w:rsid w:val="00A10737"/>
    <w:rsid w:val="00A107BE"/>
    <w:rsid w:val="00A10AB8"/>
    <w:rsid w:val="00A11619"/>
    <w:rsid w:val="00A130F5"/>
    <w:rsid w:val="00A14507"/>
    <w:rsid w:val="00A1513B"/>
    <w:rsid w:val="00A15503"/>
    <w:rsid w:val="00A16C11"/>
    <w:rsid w:val="00A175D5"/>
    <w:rsid w:val="00A20BE9"/>
    <w:rsid w:val="00A21BCE"/>
    <w:rsid w:val="00A21E2A"/>
    <w:rsid w:val="00A22565"/>
    <w:rsid w:val="00A22E52"/>
    <w:rsid w:val="00A239A2"/>
    <w:rsid w:val="00A23EC9"/>
    <w:rsid w:val="00A24526"/>
    <w:rsid w:val="00A24E67"/>
    <w:rsid w:val="00A25270"/>
    <w:rsid w:val="00A25286"/>
    <w:rsid w:val="00A254DD"/>
    <w:rsid w:val="00A2592A"/>
    <w:rsid w:val="00A25950"/>
    <w:rsid w:val="00A319BC"/>
    <w:rsid w:val="00A322EC"/>
    <w:rsid w:val="00A325BD"/>
    <w:rsid w:val="00A32E6F"/>
    <w:rsid w:val="00A3382A"/>
    <w:rsid w:val="00A34AE7"/>
    <w:rsid w:val="00A350AE"/>
    <w:rsid w:val="00A3731C"/>
    <w:rsid w:val="00A377B1"/>
    <w:rsid w:val="00A37CE7"/>
    <w:rsid w:val="00A41315"/>
    <w:rsid w:val="00A450E4"/>
    <w:rsid w:val="00A46432"/>
    <w:rsid w:val="00A4658D"/>
    <w:rsid w:val="00A47760"/>
    <w:rsid w:val="00A47DE7"/>
    <w:rsid w:val="00A47DEF"/>
    <w:rsid w:val="00A47F7A"/>
    <w:rsid w:val="00A50B36"/>
    <w:rsid w:val="00A51479"/>
    <w:rsid w:val="00A51A55"/>
    <w:rsid w:val="00A5249D"/>
    <w:rsid w:val="00A52FA3"/>
    <w:rsid w:val="00A5321F"/>
    <w:rsid w:val="00A53A34"/>
    <w:rsid w:val="00A54F2F"/>
    <w:rsid w:val="00A572F6"/>
    <w:rsid w:val="00A57C32"/>
    <w:rsid w:val="00A60253"/>
    <w:rsid w:val="00A6065D"/>
    <w:rsid w:val="00A60707"/>
    <w:rsid w:val="00A617B1"/>
    <w:rsid w:val="00A61F3F"/>
    <w:rsid w:val="00A62215"/>
    <w:rsid w:val="00A6241A"/>
    <w:rsid w:val="00A628FE"/>
    <w:rsid w:val="00A635D6"/>
    <w:rsid w:val="00A63898"/>
    <w:rsid w:val="00A63F89"/>
    <w:rsid w:val="00A65338"/>
    <w:rsid w:val="00A65E36"/>
    <w:rsid w:val="00A66026"/>
    <w:rsid w:val="00A6617B"/>
    <w:rsid w:val="00A66BBA"/>
    <w:rsid w:val="00A677B7"/>
    <w:rsid w:val="00A7061E"/>
    <w:rsid w:val="00A707CC"/>
    <w:rsid w:val="00A7101C"/>
    <w:rsid w:val="00A71489"/>
    <w:rsid w:val="00A715D2"/>
    <w:rsid w:val="00A7204C"/>
    <w:rsid w:val="00A73801"/>
    <w:rsid w:val="00A7461C"/>
    <w:rsid w:val="00A74845"/>
    <w:rsid w:val="00A7486A"/>
    <w:rsid w:val="00A75921"/>
    <w:rsid w:val="00A75CF5"/>
    <w:rsid w:val="00A80E2D"/>
    <w:rsid w:val="00A8138E"/>
    <w:rsid w:val="00A81925"/>
    <w:rsid w:val="00A81E62"/>
    <w:rsid w:val="00A82313"/>
    <w:rsid w:val="00A82CEF"/>
    <w:rsid w:val="00A83294"/>
    <w:rsid w:val="00A83FDE"/>
    <w:rsid w:val="00A841B8"/>
    <w:rsid w:val="00A84554"/>
    <w:rsid w:val="00A849FB"/>
    <w:rsid w:val="00A861F4"/>
    <w:rsid w:val="00A86A25"/>
    <w:rsid w:val="00A86E9A"/>
    <w:rsid w:val="00A874EF"/>
    <w:rsid w:val="00A90ABD"/>
    <w:rsid w:val="00A90B50"/>
    <w:rsid w:val="00A91099"/>
    <w:rsid w:val="00A92056"/>
    <w:rsid w:val="00A938EF"/>
    <w:rsid w:val="00A94CAB"/>
    <w:rsid w:val="00A95199"/>
    <w:rsid w:val="00A9560F"/>
    <w:rsid w:val="00A95B90"/>
    <w:rsid w:val="00A95CCC"/>
    <w:rsid w:val="00A96CAE"/>
    <w:rsid w:val="00A9723C"/>
    <w:rsid w:val="00AA1859"/>
    <w:rsid w:val="00AA26A0"/>
    <w:rsid w:val="00AA3180"/>
    <w:rsid w:val="00AA354F"/>
    <w:rsid w:val="00AA3FD0"/>
    <w:rsid w:val="00AA4BD6"/>
    <w:rsid w:val="00AA4CB9"/>
    <w:rsid w:val="00AA4DAC"/>
    <w:rsid w:val="00AA50D3"/>
    <w:rsid w:val="00AA548C"/>
    <w:rsid w:val="00AA6236"/>
    <w:rsid w:val="00AA771E"/>
    <w:rsid w:val="00AA78AC"/>
    <w:rsid w:val="00AA7FEF"/>
    <w:rsid w:val="00AA7FF5"/>
    <w:rsid w:val="00AB0A86"/>
    <w:rsid w:val="00AB0B10"/>
    <w:rsid w:val="00AB0BA1"/>
    <w:rsid w:val="00AB1455"/>
    <w:rsid w:val="00AB16CD"/>
    <w:rsid w:val="00AB1A6C"/>
    <w:rsid w:val="00AB2A9F"/>
    <w:rsid w:val="00AB3DAA"/>
    <w:rsid w:val="00AB4DC6"/>
    <w:rsid w:val="00AB5F38"/>
    <w:rsid w:val="00AB643E"/>
    <w:rsid w:val="00AB64BC"/>
    <w:rsid w:val="00AC0E58"/>
    <w:rsid w:val="00AC1973"/>
    <w:rsid w:val="00AC31F1"/>
    <w:rsid w:val="00AC543F"/>
    <w:rsid w:val="00AC6D88"/>
    <w:rsid w:val="00AC6DC2"/>
    <w:rsid w:val="00AD0E00"/>
    <w:rsid w:val="00AD26F5"/>
    <w:rsid w:val="00AD286E"/>
    <w:rsid w:val="00AD3519"/>
    <w:rsid w:val="00AD3618"/>
    <w:rsid w:val="00AD4107"/>
    <w:rsid w:val="00AD5238"/>
    <w:rsid w:val="00AD5562"/>
    <w:rsid w:val="00AD6C57"/>
    <w:rsid w:val="00AD6EC2"/>
    <w:rsid w:val="00AD79F5"/>
    <w:rsid w:val="00AE186C"/>
    <w:rsid w:val="00AE1F84"/>
    <w:rsid w:val="00AE261C"/>
    <w:rsid w:val="00AE2E1D"/>
    <w:rsid w:val="00AE30D7"/>
    <w:rsid w:val="00AE352D"/>
    <w:rsid w:val="00AE370D"/>
    <w:rsid w:val="00AE4567"/>
    <w:rsid w:val="00AE4F3E"/>
    <w:rsid w:val="00AE5475"/>
    <w:rsid w:val="00AE5D43"/>
    <w:rsid w:val="00AE6E3E"/>
    <w:rsid w:val="00AE7ED9"/>
    <w:rsid w:val="00AF0935"/>
    <w:rsid w:val="00AF2CC1"/>
    <w:rsid w:val="00AF5BEF"/>
    <w:rsid w:val="00AF5EF8"/>
    <w:rsid w:val="00B00533"/>
    <w:rsid w:val="00B01D15"/>
    <w:rsid w:val="00B02C21"/>
    <w:rsid w:val="00B03DB0"/>
    <w:rsid w:val="00B03F8C"/>
    <w:rsid w:val="00B0452B"/>
    <w:rsid w:val="00B06131"/>
    <w:rsid w:val="00B06BF8"/>
    <w:rsid w:val="00B07B49"/>
    <w:rsid w:val="00B10047"/>
    <w:rsid w:val="00B102D6"/>
    <w:rsid w:val="00B1112C"/>
    <w:rsid w:val="00B12C42"/>
    <w:rsid w:val="00B14F10"/>
    <w:rsid w:val="00B1602F"/>
    <w:rsid w:val="00B164E3"/>
    <w:rsid w:val="00B168BA"/>
    <w:rsid w:val="00B176BB"/>
    <w:rsid w:val="00B17D6C"/>
    <w:rsid w:val="00B20278"/>
    <w:rsid w:val="00B2063C"/>
    <w:rsid w:val="00B21759"/>
    <w:rsid w:val="00B21D82"/>
    <w:rsid w:val="00B2420E"/>
    <w:rsid w:val="00B24A3E"/>
    <w:rsid w:val="00B25302"/>
    <w:rsid w:val="00B317DC"/>
    <w:rsid w:val="00B320E8"/>
    <w:rsid w:val="00B3261C"/>
    <w:rsid w:val="00B32834"/>
    <w:rsid w:val="00B32DAF"/>
    <w:rsid w:val="00B33114"/>
    <w:rsid w:val="00B33733"/>
    <w:rsid w:val="00B337D0"/>
    <w:rsid w:val="00B33FB4"/>
    <w:rsid w:val="00B34700"/>
    <w:rsid w:val="00B34D22"/>
    <w:rsid w:val="00B36035"/>
    <w:rsid w:val="00B36DE2"/>
    <w:rsid w:val="00B36E87"/>
    <w:rsid w:val="00B36FC0"/>
    <w:rsid w:val="00B371EC"/>
    <w:rsid w:val="00B37461"/>
    <w:rsid w:val="00B37677"/>
    <w:rsid w:val="00B379E4"/>
    <w:rsid w:val="00B40E44"/>
    <w:rsid w:val="00B42130"/>
    <w:rsid w:val="00B42926"/>
    <w:rsid w:val="00B43715"/>
    <w:rsid w:val="00B44CE9"/>
    <w:rsid w:val="00B452FE"/>
    <w:rsid w:val="00B4721D"/>
    <w:rsid w:val="00B47A96"/>
    <w:rsid w:val="00B51794"/>
    <w:rsid w:val="00B52A72"/>
    <w:rsid w:val="00B53E2C"/>
    <w:rsid w:val="00B53E68"/>
    <w:rsid w:val="00B5511B"/>
    <w:rsid w:val="00B55911"/>
    <w:rsid w:val="00B577A1"/>
    <w:rsid w:val="00B57D98"/>
    <w:rsid w:val="00B60000"/>
    <w:rsid w:val="00B6008E"/>
    <w:rsid w:val="00B60AA3"/>
    <w:rsid w:val="00B60DCB"/>
    <w:rsid w:val="00B60F8E"/>
    <w:rsid w:val="00B6198B"/>
    <w:rsid w:val="00B62286"/>
    <w:rsid w:val="00B63390"/>
    <w:rsid w:val="00B63D40"/>
    <w:rsid w:val="00B64A08"/>
    <w:rsid w:val="00B64BC8"/>
    <w:rsid w:val="00B64E7C"/>
    <w:rsid w:val="00B65E85"/>
    <w:rsid w:val="00B67856"/>
    <w:rsid w:val="00B67A2F"/>
    <w:rsid w:val="00B67AC9"/>
    <w:rsid w:val="00B70351"/>
    <w:rsid w:val="00B70416"/>
    <w:rsid w:val="00B7080E"/>
    <w:rsid w:val="00B70817"/>
    <w:rsid w:val="00B70B12"/>
    <w:rsid w:val="00B71B86"/>
    <w:rsid w:val="00B7257D"/>
    <w:rsid w:val="00B727F0"/>
    <w:rsid w:val="00B72D8B"/>
    <w:rsid w:val="00B74A84"/>
    <w:rsid w:val="00B75AAC"/>
    <w:rsid w:val="00B75B3B"/>
    <w:rsid w:val="00B75D90"/>
    <w:rsid w:val="00B761BD"/>
    <w:rsid w:val="00B80262"/>
    <w:rsid w:val="00B8266A"/>
    <w:rsid w:val="00B844D0"/>
    <w:rsid w:val="00B85098"/>
    <w:rsid w:val="00B8535F"/>
    <w:rsid w:val="00B85433"/>
    <w:rsid w:val="00B864B0"/>
    <w:rsid w:val="00B86BA9"/>
    <w:rsid w:val="00B879E8"/>
    <w:rsid w:val="00B87C1B"/>
    <w:rsid w:val="00B90332"/>
    <w:rsid w:val="00B92B91"/>
    <w:rsid w:val="00B92F43"/>
    <w:rsid w:val="00B949BB"/>
    <w:rsid w:val="00B94C49"/>
    <w:rsid w:val="00B951D5"/>
    <w:rsid w:val="00B96756"/>
    <w:rsid w:val="00B96ED4"/>
    <w:rsid w:val="00BA0B44"/>
    <w:rsid w:val="00BA0B61"/>
    <w:rsid w:val="00BA0F97"/>
    <w:rsid w:val="00BA138B"/>
    <w:rsid w:val="00BA1A8C"/>
    <w:rsid w:val="00BA2D77"/>
    <w:rsid w:val="00BA3BFA"/>
    <w:rsid w:val="00BA3FE0"/>
    <w:rsid w:val="00BA47F8"/>
    <w:rsid w:val="00BA4997"/>
    <w:rsid w:val="00BA5317"/>
    <w:rsid w:val="00BA53A8"/>
    <w:rsid w:val="00BA57C1"/>
    <w:rsid w:val="00BA5E3D"/>
    <w:rsid w:val="00BA607B"/>
    <w:rsid w:val="00BA6692"/>
    <w:rsid w:val="00BA73AF"/>
    <w:rsid w:val="00BA767D"/>
    <w:rsid w:val="00BB0647"/>
    <w:rsid w:val="00BB08D8"/>
    <w:rsid w:val="00BB0E26"/>
    <w:rsid w:val="00BB1047"/>
    <w:rsid w:val="00BB140E"/>
    <w:rsid w:val="00BB1CE5"/>
    <w:rsid w:val="00BB1FE4"/>
    <w:rsid w:val="00BB246D"/>
    <w:rsid w:val="00BB7AA9"/>
    <w:rsid w:val="00BC0D31"/>
    <w:rsid w:val="00BC103C"/>
    <w:rsid w:val="00BC1B0B"/>
    <w:rsid w:val="00BC25E0"/>
    <w:rsid w:val="00BC2932"/>
    <w:rsid w:val="00BC33D8"/>
    <w:rsid w:val="00BC402A"/>
    <w:rsid w:val="00BC5AC5"/>
    <w:rsid w:val="00BD058F"/>
    <w:rsid w:val="00BD103B"/>
    <w:rsid w:val="00BD12B2"/>
    <w:rsid w:val="00BD14CA"/>
    <w:rsid w:val="00BD14E2"/>
    <w:rsid w:val="00BD2AE0"/>
    <w:rsid w:val="00BD4BCC"/>
    <w:rsid w:val="00BD5E42"/>
    <w:rsid w:val="00BD6B72"/>
    <w:rsid w:val="00BE1196"/>
    <w:rsid w:val="00BE1A0C"/>
    <w:rsid w:val="00BE2235"/>
    <w:rsid w:val="00BE3D06"/>
    <w:rsid w:val="00BE4478"/>
    <w:rsid w:val="00BE4BF3"/>
    <w:rsid w:val="00BE51D6"/>
    <w:rsid w:val="00BE5375"/>
    <w:rsid w:val="00BE594E"/>
    <w:rsid w:val="00BE7F2C"/>
    <w:rsid w:val="00BF0076"/>
    <w:rsid w:val="00BF06EF"/>
    <w:rsid w:val="00BF0A6E"/>
    <w:rsid w:val="00BF0E3E"/>
    <w:rsid w:val="00BF11E2"/>
    <w:rsid w:val="00BF1203"/>
    <w:rsid w:val="00BF1843"/>
    <w:rsid w:val="00BF37A8"/>
    <w:rsid w:val="00BF60F7"/>
    <w:rsid w:val="00BF6E3C"/>
    <w:rsid w:val="00BF776E"/>
    <w:rsid w:val="00BF7D98"/>
    <w:rsid w:val="00C000E3"/>
    <w:rsid w:val="00C0019D"/>
    <w:rsid w:val="00C01A20"/>
    <w:rsid w:val="00C025F6"/>
    <w:rsid w:val="00C02D82"/>
    <w:rsid w:val="00C06550"/>
    <w:rsid w:val="00C065AE"/>
    <w:rsid w:val="00C06C00"/>
    <w:rsid w:val="00C06E90"/>
    <w:rsid w:val="00C072CF"/>
    <w:rsid w:val="00C07491"/>
    <w:rsid w:val="00C07F02"/>
    <w:rsid w:val="00C1066E"/>
    <w:rsid w:val="00C1092D"/>
    <w:rsid w:val="00C11839"/>
    <w:rsid w:val="00C12708"/>
    <w:rsid w:val="00C1295B"/>
    <w:rsid w:val="00C13259"/>
    <w:rsid w:val="00C13984"/>
    <w:rsid w:val="00C13F3C"/>
    <w:rsid w:val="00C13F49"/>
    <w:rsid w:val="00C14E0B"/>
    <w:rsid w:val="00C16BE7"/>
    <w:rsid w:val="00C17CB6"/>
    <w:rsid w:val="00C215FB"/>
    <w:rsid w:val="00C21925"/>
    <w:rsid w:val="00C21BC7"/>
    <w:rsid w:val="00C22B57"/>
    <w:rsid w:val="00C22F70"/>
    <w:rsid w:val="00C25C04"/>
    <w:rsid w:val="00C2622A"/>
    <w:rsid w:val="00C27265"/>
    <w:rsid w:val="00C30885"/>
    <w:rsid w:val="00C31015"/>
    <w:rsid w:val="00C3193F"/>
    <w:rsid w:val="00C320C9"/>
    <w:rsid w:val="00C321A0"/>
    <w:rsid w:val="00C32AE2"/>
    <w:rsid w:val="00C32D49"/>
    <w:rsid w:val="00C33948"/>
    <w:rsid w:val="00C3465C"/>
    <w:rsid w:val="00C3474C"/>
    <w:rsid w:val="00C34EDD"/>
    <w:rsid w:val="00C36973"/>
    <w:rsid w:val="00C36DDD"/>
    <w:rsid w:val="00C3730A"/>
    <w:rsid w:val="00C406E8"/>
    <w:rsid w:val="00C4094C"/>
    <w:rsid w:val="00C4350E"/>
    <w:rsid w:val="00C43747"/>
    <w:rsid w:val="00C43A1A"/>
    <w:rsid w:val="00C44625"/>
    <w:rsid w:val="00C44CCD"/>
    <w:rsid w:val="00C4524B"/>
    <w:rsid w:val="00C45D30"/>
    <w:rsid w:val="00C464BA"/>
    <w:rsid w:val="00C470D6"/>
    <w:rsid w:val="00C4713F"/>
    <w:rsid w:val="00C47E62"/>
    <w:rsid w:val="00C50725"/>
    <w:rsid w:val="00C50B84"/>
    <w:rsid w:val="00C51D6B"/>
    <w:rsid w:val="00C5223D"/>
    <w:rsid w:val="00C52633"/>
    <w:rsid w:val="00C52952"/>
    <w:rsid w:val="00C529B0"/>
    <w:rsid w:val="00C53F56"/>
    <w:rsid w:val="00C54316"/>
    <w:rsid w:val="00C5503A"/>
    <w:rsid w:val="00C553F2"/>
    <w:rsid w:val="00C560D5"/>
    <w:rsid w:val="00C57342"/>
    <w:rsid w:val="00C6182F"/>
    <w:rsid w:val="00C61FD6"/>
    <w:rsid w:val="00C63200"/>
    <w:rsid w:val="00C639D6"/>
    <w:rsid w:val="00C63CAC"/>
    <w:rsid w:val="00C63D5E"/>
    <w:rsid w:val="00C64315"/>
    <w:rsid w:val="00C64867"/>
    <w:rsid w:val="00C656E7"/>
    <w:rsid w:val="00C658EC"/>
    <w:rsid w:val="00C6596A"/>
    <w:rsid w:val="00C65CC9"/>
    <w:rsid w:val="00C65EBA"/>
    <w:rsid w:val="00C6788F"/>
    <w:rsid w:val="00C70CCF"/>
    <w:rsid w:val="00C71414"/>
    <w:rsid w:val="00C73AC6"/>
    <w:rsid w:val="00C74527"/>
    <w:rsid w:val="00C749D5"/>
    <w:rsid w:val="00C74F11"/>
    <w:rsid w:val="00C76846"/>
    <w:rsid w:val="00C76D5B"/>
    <w:rsid w:val="00C7768B"/>
    <w:rsid w:val="00C77923"/>
    <w:rsid w:val="00C800EB"/>
    <w:rsid w:val="00C80E0F"/>
    <w:rsid w:val="00C8458A"/>
    <w:rsid w:val="00C84647"/>
    <w:rsid w:val="00C85807"/>
    <w:rsid w:val="00C8667A"/>
    <w:rsid w:val="00C86C71"/>
    <w:rsid w:val="00C86F15"/>
    <w:rsid w:val="00C87E4E"/>
    <w:rsid w:val="00C912D0"/>
    <w:rsid w:val="00C9158F"/>
    <w:rsid w:val="00C919FC"/>
    <w:rsid w:val="00C91E9E"/>
    <w:rsid w:val="00C92C7F"/>
    <w:rsid w:val="00C942AE"/>
    <w:rsid w:val="00C943E1"/>
    <w:rsid w:val="00C94C95"/>
    <w:rsid w:val="00C95168"/>
    <w:rsid w:val="00C9530E"/>
    <w:rsid w:val="00C95997"/>
    <w:rsid w:val="00C96046"/>
    <w:rsid w:val="00C96CFB"/>
    <w:rsid w:val="00C978C7"/>
    <w:rsid w:val="00CA0F4E"/>
    <w:rsid w:val="00CA1DDB"/>
    <w:rsid w:val="00CA32DB"/>
    <w:rsid w:val="00CA6A7B"/>
    <w:rsid w:val="00CA6CAC"/>
    <w:rsid w:val="00CB0B38"/>
    <w:rsid w:val="00CB1384"/>
    <w:rsid w:val="00CB14AE"/>
    <w:rsid w:val="00CB196B"/>
    <w:rsid w:val="00CB1FBB"/>
    <w:rsid w:val="00CB2232"/>
    <w:rsid w:val="00CB22FD"/>
    <w:rsid w:val="00CB249F"/>
    <w:rsid w:val="00CB321C"/>
    <w:rsid w:val="00CB325D"/>
    <w:rsid w:val="00CB453F"/>
    <w:rsid w:val="00CB4F17"/>
    <w:rsid w:val="00CB517E"/>
    <w:rsid w:val="00CB54A7"/>
    <w:rsid w:val="00CB710E"/>
    <w:rsid w:val="00CB722F"/>
    <w:rsid w:val="00CB7824"/>
    <w:rsid w:val="00CC11F0"/>
    <w:rsid w:val="00CC2761"/>
    <w:rsid w:val="00CC3186"/>
    <w:rsid w:val="00CC6B72"/>
    <w:rsid w:val="00CD06F3"/>
    <w:rsid w:val="00CD1B59"/>
    <w:rsid w:val="00CD2EFA"/>
    <w:rsid w:val="00CD4479"/>
    <w:rsid w:val="00CD4749"/>
    <w:rsid w:val="00CD5AE7"/>
    <w:rsid w:val="00CD6401"/>
    <w:rsid w:val="00CD7B17"/>
    <w:rsid w:val="00CE0476"/>
    <w:rsid w:val="00CE0DCA"/>
    <w:rsid w:val="00CE2B5A"/>
    <w:rsid w:val="00CE3855"/>
    <w:rsid w:val="00CE61FE"/>
    <w:rsid w:val="00CE6360"/>
    <w:rsid w:val="00CE6C47"/>
    <w:rsid w:val="00CE75EB"/>
    <w:rsid w:val="00CE7D95"/>
    <w:rsid w:val="00CF1681"/>
    <w:rsid w:val="00CF1FD3"/>
    <w:rsid w:val="00CF22B6"/>
    <w:rsid w:val="00CF2A07"/>
    <w:rsid w:val="00CF3C4F"/>
    <w:rsid w:val="00CF3F51"/>
    <w:rsid w:val="00CF7382"/>
    <w:rsid w:val="00CF753E"/>
    <w:rsid w:val="00CF7A94"/>
    <w:rsid w:val="00CF7B7C"/>
    <w:rsid w:val="00D006F9"/>
    <w:rsid w:val="00D01531"/>
    <w:rsid w:val="00D027AE"/>
    <w:rsid w:val="00D0307C"/>
    <w:rsid w:val="00D031C0"/>
    <w:rsid w:val="00D037B3"/>
    <w:rsid w:val="00D03BC7"/>
    <w:rsid w:val="00D03F1C"/>
    <w:rsid w:val="00D0435A"/>
    <w:rsid w:val="00D04E3A"/>
    <w:rsid w:val="00D05D6D"/>
    <w:rsid w:val="00D0716A"/>
    <w:rsid w:val="00D10140"/>
    <w:rsid w:val="00D1045C"/>
    <w:rsid w:val="00D10DEF"/>
    <w:rsid w:val="00D11791"/>
    <w:rsid w:val="00D11E28"/>
    <w:rsid w:val="00D12165"/>
    <w:rsid w:val="00D145E4"/>
    <w:rsid w:val="00D14BB6"/>
    <w:rsid w:val="00D14F02"/>
    <w:rsid w:val="00D15E11"/>
    <w:rsid w:val="00D16283"/>
    <w:rsid w:val="00D20F47"/>
    <w:rsid w:val="00D2156F"/>
    <w:rsid w:val="00D21D47"/>
    <w:rsid w:val="00D22022"/>
    <w:rsid w:val="00D23C97"/>
    <w:rsid w:val="00D272A8"/>
    <w:rsid w:val="00D27B79"/>
    <w:rsid w:val="00D30355"/>
    <w:rsid w:val="00D31371"/>
    <w:rsid w:val="00D32995"/>
    <w:rsid w:val="00D32F4F"/>
    <w:rsid w:val="00D333C2"/>
    <w:rsid w:val="00D33481"/>
    <w:rsid w:val="00D33E64"/>
    <w:rsid w:val="00D34AA0"/>
    <w:rsid w:val="00D364C3"/>
    <w:rsid w:val="00D3775D"/>
    <w:rsid w:val="00D41D07"/>
    <w:rsid w:val="00D436B2"/>
    <w:rsid w:val="00D44283"/>
    <w:rsid w:val="00D448F2"/>
    <w:rsid w:val="00D45CB7"/>
    <w:rsid w:val="00D466F3"/>
    <w:rsid w:val="00D46786"/>
    <w:rsid w:val="00D46E6F"/>
    <w:rsid w:val="00D47BD2"/>
    <w:rsid w:val="00D52502"/>
    <w:rsid w:val="00D525DF"/>
    <w:rsid w:val="00D5286E"/>
    <w:rsid w:val="00D52915"/>
    <w:rsid w:val="00D52925"/>
    <w:rsid w:val="00D53480"/>
    <w:rsid w:val="00D55251"/>
    <w:rsid w:val="00D56177"/>
    <w:rsid w:val="00D60E80"/>
    <w:rsid w:val="00D638A9"/>
    <w:rsid w:val="00D64381"/>
    <w:rsid w:val="00D64A77"/>
    <w:rsid w:val="00D650DA"/>
    <w:rsid w:val="00D657D1"/>
    <w:rsid w:val="00D65D6E"/>
    <w:rsid w:val="00D66F8C"/>
    <w:rsid w:val="00D67BE2"/>
    <w:rsid w:val="00D702D4"/>
    <w:rsid w:val="00D7056B"/>
    <w:rsid w:val="00D70AB8"/>
    <w:rsid w:val="00D71128"/>
    <w:rsid w:val="00D72467"/>
    <w:rsid w:val="00D73279"/>
    <w:rsid w:val="00D7339D"/>
    <w:rsid w:val="00D734DB"/>
    <w:rsid w:val="00D735CA"/>
    <w:rsid w:val="00D73BDD"/>
    <w:rsid w:val="00D7479F"/>
    <w:rsid w:val="00D7785E"/>
    <w:rsid w:val="00D82094"/>
    <w:rsid w:val="00D85F69"/>
    <w:rsid w:val="00D866BC"/>
    <w:rsid w:val="00D86DCF"/>
    <w:rsid w:val="00D91593"/>
    <w:rsid w:val="00D91D09"/>
    <w:rsid w:val="00D9379D"/>
    <w:rsid w:val="00D93E18"/>
    <w:rsid w:val="00D940F0"/>
    <w:rsid w:val="00D97988"/>
    <w:rsid w:val="00DA148E"/>
    <w:rsid w:val="00DA1C3B"/>
    <w:rsid w:val="00DA36F9"/>
    <w:rsid w:val="00DA3727"/>
    <w:rsid w:val="00DA7124"/>
    <w:rsid w:val="00DB04E7"/>
    <w:rsid w:val="00DB1540"/>
    <w:rsid w:val="00DB22FB"/>
    <w:rsid w:val="00DB24BA"/>
    <w:rsid w:val="00DB2536"/>
    <w:rsid w:val="00DB3870"/>
    <w:rsid w:val="00DB4748"/>
    <w:rsid w:val="00DB480D"/>
    <w:rsid w:val="00DB4FB6"/>
    <w:rsid w:val="00DB59D2"/>
    <w:rsid w:val="00DB640F"/>
    <w:rsid w:val="00DB67A0"/>
    <w:rsid w:val="00DB6B7B"/>
    <w:rsid w:val="00DB7373"/>
    <w:rsid w:val="00DB78CF"/>
    <w:rsid w:val="00DC07D7"/>
    <w:rsid w:val="00DC08F2"/>
    <w:rsid w:val="00DC117E"/>
    <w:rsid w:val="00DC155F"/>
    <w:rsid w:val="00DC18B0"/>
    <w:rsid w:val="00DC1A53"/>
    <w:rsid w:val="00DC1F23"/>
    <w:rsid w:val="00DC2CE3"/>
    <w:rsid w:val="00DC310D"/>
    <w:rsid w:val="00DC3873"/>
    <w:rsid w:val="00DC411A"/>
    <w:rsid w:val="00DC494E"/>
    <w:rsid w:val="00DC49F6"/>
    <w:rsid w:val="00DC54D2"/>
    <w:rsid w:val="00DC554D"/>
    <w:rsid w:val="00DC7CDB"/>
    <w:rsid w:val="00DD0AB3"/>
    <w:rsid w:val="00DD178C"/>
    <w:rsid w:val="00DD2209"/>
    <w:rsid w:val="00DD2687"/>
    <w:rsid w:val="00DD37A3"/>
    <w:rsid w:val="00DD3EA7"/>
    <w:rsid w:val="00DD41AE"/>
    <w:rsid w:val="00DD7469"/>
    <w:rsid w:val="00DD77CB"/>
    <w:rsid w:val="00DD7D3A"/>
    <w:rsid w:val="00DE121E"/>
    <w:rsid w:val="00DE147F"/>
    <w:rsid w:val="00DE3A11"/>
    <w:rsid w:val="00DE6DA7"/>
    <w:rsid w:val="00DF0094"/>
    <w:rsid w:val="00DF069C"/>
    <w:rsid w:val="00DF0C58"/>
    <w:rsid w:val="00DF195B"/>
    <w:rsid w:val="00DF213B"/>
    <w:rsid w:val="00DF2BD6"/>
    <w:rsid w:val="00DF33E0"/>
    <w:rsid w:val="00DF3A00"/>
    <w:rsid w:val="00DF3CC5"/>
    <w:rsid w:val="00DF4D3C"/>
    <w:rsid w:val="00DF532D"/>
    <w:rsid w:val="00DF55D9"/>
    <w:rsid w:val="00DF635D"/>
    <w:rsid w:val="00DF7AEC"/>
    <w:rsid w:val="00E00862"/>
    <w:rsid w:val="00E00D76"/>
    <w:rsid w:val="00E01C58"/>
    <w:rsid w:val="00E03A4C"/>
    <w:rsid w:val="00E04156"/>
    <w:rsid w:val="00E07B49"/>
    <w:rsid w:val="00E10231"/>
    <w:rsid w:val="00E11CD9"/>
    <w:rsid w:val="00E1216C"/>
    <w:rsid w:val="00E16794"/>
    <w:rsid w:val="00E17657"/>
    <w:rsid w:val="00E176FA"/>
    <w:rsid w:val="00E17ADB"/>
    <w:rsid w:val="00E17FE8"/>
    <w:rsid w:val="00E2033C"/>
    <w:rsid w:val="00E20FAB"/>
    <w:rsid w:val="00E2161E"/>
    <w:rsid w:val="00E21A72"/>
    <w:rsid w:val="00E21DA7"/>
    <w:rsid w:val="00E222A6"/>
    <w:rsid w:val="00E223F1"/>
    <w:rsid w:val="00E231FB"/>
    <w:rsid w:val="00E2415D"/>
    <w:rsid w:val="00E24312"/>
    <w:rsid w:val="00E247A6"/>
    <w:rsid w:val="00E2511B"/>
    <w:rsid w:val="00E26544"/>
    <w:rsid w:val="00E26F59"/>
    <w:rsid w:val="00E26FA9"/>
    <w:rsid w:val="00E27F7A"/>
    <w:rsid w:val="00E32013"/>
    <w:rsid w:val="00E3388B"/>
    <w:rsid w:val="00E3691C"/>
    <w:rsid w:val="00E370D9"/>
    <w:rsid w:val="00E400CB"/>
    <w:rsid w:val="00E40497"/>
    <w:rsid w:val="00E41282"/>
    <w:rsid w:val="00E42225"/>
    <w:rsid w:val="00E43920"/>
    <w:rsid w:val="00E43BEF"/>
    <w:rsid w:val="00E43F5F"/>
    <w:rsid w:val="00E44180"/>
    <w:rsid w:val="00E441C5"/>
    <w:rsid w:val="00E4434A"/>
    <w:rsid w:val="00E447DB"/>
    <w:rsid w:val="00E45739"/>
    <w:rsid w:val="00E4745C"/>
    <w:rsid w:val="00E4751B"/>
    <w:rsid w:val="00E47ED2"/>
    <w:rsid w:val="00E50034"/>
    <w:rsid w:val="00E50607"/>
    <w:rsid w:val="00E52F95"/>
    <w:rsid w:val="00E537C4"/>
    <w:rsid w:val="00E53D9B"/>
    <w:rsid w:val="00E548BD"/>
    <w:rsid w:val="00E54E27"/>
    <w:rsid w:val="00E55B85"/>
    <w:rsid w:val="00E55C51"/>
    <w:rsid w:val="00E56CE8"/>
    <w:rsid w:val="00E56E45"/>
    <w:rsid w:val="00E57699"/>
    <w:rsid w:val="00E57B94"/>
    <w:rsid w:val="00E60627"/>
    <w:rsid w:val="00E60852"/>
    <w:rsid w:val="00E60F65"/>
    <w:rsid w:val="00E61B05"/>
    <w:rsid w:val="00E622EB"/>
    <w:rsid w:val="00E62C6E"/>
    <w:rsid w:val="00E62EC7"/>
    <w:rsid w:val="00E63D1E"/>
    <w:rsid w:val="00E63D28"/>
    <w:rsid w:val="00E63E97"/>
    <w:rsid w:val="00E64465"/>
    <w:rsid w:val="00E646A7"/>
    <w:rsid w:val="00E64C23"/>
    <w:rsid w:val="00E650AF"/>
    <w:rsid w:val="00E65913"/>
    <w:rsid w:val="00E65AFE"/>
    <w:rsid w:val="00E65D6E"/>
    <w:rsid w:val="00E668FB"/>
    <w:rsid w:val="00E67778"/>
    <w:rsid w:val="00E70A48"/>
    <w:rsid w:val="00E70C1A"/>
    <w:rsid w:val="00E71037"/>
    <w:rsid w:val="00E716CA"/>
    <w:rsid w:val="00E71D5E"/>
    <w:rsid w:val="00E72254"/>
    <w:rsid w:val="00E7246D"/>
    <w:rsid w:val="00E728DF"/>
    <w:rsid w:val="00E74ABB"/>
    <w:rsid w:val="00E7571F"/>
    <w:rsid w:val="00E76E97"/>
    <w:rsid w:val="00E7743B"/>
    <w:rsid w:val="00E77864"/>
    <w:rsid w:val="00E80B59"/>
    <w:rsid w:val="00E80F70"/>
    <w:rsid w:val="00E81900"/>
    <w:rsid w:val="00E8196F"/>
    <w:rsid w:val="00E86412"/>
    <w:rsid w:val="00E864CB"/>
    <w:rsid w:val="00E86CA0"/>
    <w:rsid w:val="00E874E5"/>
    <w:rsid w:val="00E90CC5"/>
    <w:rsid w:val="00E9147F"/>
    <w:rsid w:val="00E91B3B"/>
    <w:rsid w:val="00E920D4"/>
    <w:rsid w:val="00E92DC7"/>
    <w:rsid w:val="00E93AA9"/>
    <w:rsid w:val="00E95810"/>
    <w:rsid w:val="00E97858"/>
    <w:rsid w:val="00E97DA6"/>
    <w:rsid w:val="00EA0CB4"/>
    <w:rsid w:val="00EA1B66"/>
    <w:rsid w:val="00EA357B"/>
    <w:rsid w:val="00EA3648"/>
    <w:rsid w:val="00EA3807"/>
    <w:rsid w:val="00EA4C37"/>
    <w:rsid w:val="00EA4DB0"/>
    <w:rsid w:val="00EA6061"/>
    <w:rsid w:val="00EA6FA8"/>
    <w:rsid w:val="00EA72E8"/>
    <w:rsid w:val="00EA74CD"/>
    <w:rsid w:val="00EA7949"/>
    <w:rsid w:val="00EA794A"/>
    <w:rsid w:val="00EB1631"/>
    <w:rsid w:val="00EB2B6C"/>
    <w:rsid w:val="00EB48AF"/>
    <w:rsid w:val="00EB50B3"/>
    <w:rsid w:val="00EB5C70"/>
    <w:rsid w:val="00EB6003"/>
    <w:rsid w:val="00EB6044"/>
    <w:rsid w:val="00EB629F"/>
    <w:rsid w:val="00EB6E36"/>
    <w:rsid w:val="00EC01B7"/>
    <w:rsid w:val="00EC304B"/>
    <w:rsid w:val="00EC4E4E"/>
    <w:rsid w:val="00EC5D22"/>
    <w:rsid w:val="00EC5F41"/>
    <w:rsid w:val="00EC6979"/>
    <w:rsid w:val="00EC6D09"/>
    <w:rsid w:val="00EC776A"/>
    <w:rsid w:val="00EC7996"/>
    <w:rsid w:val="00EC7CBF"/>
    <w:rsid w:val="00ED0A33"/>
    <w:rsid w:val="00ED110A"/>
    <w:rsid w:val="00ED16A1"/>
    <w:rsid w:val="00ED196A"/>
    <w:rsid w:val="00ED1B01"/>
    <w:rsid w:val="00ED2E2E"/>
    <w:rsid w:val="00ED4095"/>
    <w:rsid w:val="00ED691E"/>
    <w:rsid w:val="00ED7D2D"/>
    <w:rsid w:val="00EE2264"/>
    <w:rsid w:val="00EE2873"/>
    <w:rsid w:val="00EE398A"/>
    <w:rsid w:val="00EE3AC3"/>
    <w:rsid w:val="00EE48B3"/>
    <w:rsid w:val="00EE59CE"/>
    <w:rsid w:val="00EE6176"/>
    <w:rsid w:val="00EE6270"/>
    <w:rsid w:val="00EE63BF"/>
    <w:rsid w:val="00EE6B48"/>
    <w:rsid w:val="00EE720B"/>
    <w:rsid w:val="00EE79C6"/>
    <w:rsid w:val="00EF051D"/>
    <w:rsid w:val="00EF0CB0"/>
    <w:rsid w:val="00EF1C98"/>
    <w:rsid w:val="00EF1EB1"/>
    <w:rsid w:val="00EF3163"/>
    <w:rsid w:val="00EF5396"/>
    <w:rsid w:val="00EF632E"/>
    <w:rsid w:val="00EF758F"/>
    <w:rsid w:val="00F00081"/>
    <w:rsid w:val="00F02EED"/>
    <w:rsid w:val="00F032A9"/>
    <w:rsid w:val="00F03969"/>
    <w:rsid w:val="00F05BE8"/>
    <w:rsid w:val="00F0672D"/>
    <w:rsid w:val="00F06B8F"/>
    <w:rsid w:val="00F1083A"/>
    <w:rsid w:val="00F10C5A"/>
    <w:rsid w:val="00F1126A"/>
    <w:rsid w:val="00F13DA7"/>
    <w:rsid w:val="00F140AA"/>
    <w:rsid w:val="00F14660"/>
    <w:rsid w:val="00F153D8"/>
    <w:rsid w:val="00F156CB"/>
    <w:rsid w:val="00F17084"/>
    <w:rsid w:val="00F20D1A"/>
    <w:rsid w:val="00F20FFD"/>
    <w:rsid w:val="00F214C0"/>
    <w:rsid w:val="00F21CE6"/>
    <w:rsid w:val="00F21FBB"/>
    <w:rsid w:val="00F23BB5"/>
    <w:rsid w:val="00F2420F"/>
    <w:rsid w:val="00F245BE"/>
    <w:rsid w:val="00F24782"/>
    <w:rsid w:val="00F24C00"/>
    <w:rsid w:val="00F25318"/>
    <w:rsid w:val="00F25C39"/>
    <w:rsid w:val="00F2797B"/>
    <w:rsid w:val="00F30DAA"/>
    <w:rsid w:val="00F311E1"/>
    <w:rsid w:val="00F31928"/>
    <w:rsid w:val="00F3239C"/>
    <w:rsid w:val="00F3538A"/>
    <w:rsid w:val="00F35785"/>
    <w:rsid w:val="00F35D66"/>
    <w:rsid w:val="00F36A12"/>
    <w:rsid w:val="00F370E9"/>
    <w:rsid w:val="00F372BC"/>
    <w:rsid w:val="00F40BF8"/>
    <w:rsid w:val="00F427F5"/>
    <w:rsid w:val="00F44E13"/>
    <w:rsid w:val="00F4520E"/>
    <w:rsid w:val="00F47132"/>
    <w:rsid w:val="00F47368"/>
    <w:rsid w:val="00F50314"/>
    <w:rsid w:val="00F51F85"/>
    <w:rsid w:val="00F52706"/>
    <w:rsid w:val="00F537EB"/>
    <w:rsid w:val="00F538D6"/>
    <w:rsid w:val="00F5536B"/>
    <w:rsid w:val="00F60C63"/>
    <w:rsid w:val="00F6175C"/>
    <w:rsid w:val="00F64DAA"/>
    <w:rsid w:val="00F650DC"/>
    <w:rsid w:val="00F6525D"/>
    <w:rsid w:val="00F656D5"/>
    <w:rsid w:val="00F65DE3"/>
    <w:rsid w:val="00F65FE0"/>
    <w:rsid w:val="00F65FED"/>
    <w:rsid w:val="00F670FA"/>
    <w:rsid w:val="00F6755B"/>
    <w:rsid w:val="00F7008C"/>
    <w:rsid w:val="00F70F56"/>
    <w:rsid w:val="00F71DA9"/>
    <w:rsid w:val="00F71F7F"/>
    <w:rsid w:val="00F7232B"/>
    <w:rsid w:val="00F725F1"/>
    <w:rsid w:val="00F7280B"/>
    <w:rsid w:val="00F728D9"/>
    <w:rsid w:val="00F74630"/>
    <w:rsid w:val="00F74E15"/>
    <w:rsid w:val="00F75B91"/>
    <w:rsid w:val="00F76390"/>
    <w:rsid w:val="00F763EF"/>
    <w:rsid w:val="00F775D7"/>
    <w:rsid w:val="00F77A93"/>
    <w:rsid w:val="00F803EC"/>
    <w:rsid w:val="00F804D3"/>
    <w:rsid w:val="00F812B7"/>
    <w:rsid w:val="00F816F4"/>
    <w:rsid w:val="00F81C3E"/>
    <w:rsid w:val="00F824FB"/>
    <w:rsid w:val="00F825BC"/>
    <w:rsid w:val="00F82697"/>
    <w:rsid w:val="00F835E1"/>
    <w:rsid w:val="00F90178"/>
    <w:rsid w:val="00F9079E"/>
    <w:rsid w:val="00F90E20"/>
    <w:rsid w:val="00F94B9B"/>
    <w:rsid w:val="00F95763"/>
    <w:rsid w:val="00F95DEB"/>
    <w:rsid w:val="00F96775"/>
    <w:rsid w:val="00F96B19"/>
    <w:rsid w:val="00F97C0B"/>
    <w:rsid w:val="00FA1E69"/>
    <w:rsid w:val="00FA288F"/>
    <w:rsid w:val="00FA3266"/>
    <w:rsid w:val="00FA78F8"/>
    <w:rsid w:val="00FA7A0F"/>
    <w:rsid w:val="00FA7AE6"/>
    <w:rsid w:val="00FB2E6E"/>
    <w:rsid w:val="00FB33EE"/>
    <w:rsid w:val="00FB37DB"/>
    <w:rsid w:val="00FB3835"/>
    <w:rsid w:val="00FB3F8C"/>
    <w:rsid w:val="00FB684C"/>
    <w:rsid w:val="00FB6E88"/>
    <w:rsid w:val="00FB725F"/>
    <w:rsid w:val="00FC0079"/>
    <w:rsid w:val="00FC29A4"/>
    <w:rsid w:val="00FC406E"/>
    <w:rsid w:val="00FC40FB"/>
    <w:rsid w:val="00FC4892"/>
    <w:rsid w:val="00FC4CC9"/>
    <w:rsid w:val="00FC4DFD"/>
    <w:rsid w:val="00FC6177"/>
    <w:rsid w:val="00FC6446"/>
    <w:rsid w:val="00FC6800"/>
    <w:rsid w:val="00FC7AD1"/>
    <w:rsid w:val="00FD0412"/>
    <w:rsid w:val="00FD08F0"/>
    <w:rsid w:val="00FD258E"/>
    <w:rsid w:val="00FD3969"/>
    <w:rsid w:val="00FD3F02"/>
    <w:rsid w:val="00FD5FB2"/>
    <w:rsid w:val="00FD6344"/>
    <w:rsid w:val="00FD678F"/>
    <w:rsid w:val="00FD76CA"/>
    <w:rsid w:val="00FD7D4F"/>
    <w:rsid w:val="00FE10EF"/>
    <w:rsid w:val="00FE200D"/>
    <w:rsid w:val="00FE233D"/>
    <w:rsid w:val="00FE2DFA"/>
    <w:rsid w:val="00FE2FA6"/>
    <w:rsid w:val="00FE365C"/>
    <w:rsid w:val="00FE4045"/>
    <w:rsid w:val="00FE56C1"/>
    <w:rsid w:val="00FE640E"/>
    <w:rsid w:val="00FE6E5D"/>
    <w:rsid w:val="00FF0963"/>
    <w:rsid w:val="00FF2E96"/>
    <w:rsid w:val="00FF396A"/>
    <w:rsid w:val="00FF3ACD"/>
    <w:rsid w:val="00FF45B7"/>
    <w:rsid w:val="00FF4D8C"/>
    <w:rsid w:val="00FF56FF"/>
    <w:rsid w:val="00FF60C0"/>
    <w:rsid w:val="00FF6149"/>
    <w:rsid w:val="00FF7285"/>
    <w:rsid w:val="00FF7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colormru v:ext="edit" colors="#f69"/>
    </o:shapedefaults>
    <o:shapelayout v:ext="edit">
      <o:idmap v:ext="edit" data="1"/>
    </o:shapelayout>
  </w:shapeDefaults>
  <w:decimalSymbol w:val="."/>
  <w:listSeparator w:val=","/>
  <w15:chartTrackingRefBased/>
  <w15:docId w15:val="{7FC61172-7C92-49F1-BAA3-FACA8E08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
    <w:uiPriority w:val="99"/>
    <w:qFormat/>
    <w:pPr>
      <w:numPr>
        <w:numId w:val="5"/>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uiPriority w:val="99"/>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uiPriority w:val="99"/>
    <w:qFormat/>
    <w:pPr>
      <w:numPr>
        <w:numId w:val="6"/>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link w:val="Order2Char1"/>
    <w:pPr>
      <w:numPr>
        <w:numId w:val="3"/>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4"/>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pPr>
      <w:numPr>
        <w:numId w:val="7"/>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8"/>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odyText">
    <w:name w:val="Body Text"/>
    <w:basedOn w:val="Normal"/>
    <w:pPr>
      <w:ind w:right="-477"/>
      <w:jc w:val="both"/>
    </w:pPr>
    <w:rPr>
      <w:sz w:val="24"/>
      <w:szCs w:val="20"/>
    </w:rPr>
  </w:style>
  <w:style w:type="paragraph" w:styleId="BalloonText">
    <w:name w:val="Balloon Text"/>
    <w:basedOn w:val="Normal"/>
    <w:semiHidden/>
    <w:rPr>
      <w:rFonts w:ascii="Tahoma" w:hAnsi="Tahoma" w:cs="Tahoma"/>
      <w:sz w:val="16"/>
      <w:szCs w:val="16"/>
    </w:rPr>
  </w:style>
  <w:style w:type="character" w:customStyle="1" w:styleId="Para5Char">
    <w:name w:val="Para 5 Char"/>
    <w:uiPriority w:val="99"/>
    <w:rPr>
      <w:noProof w:val="0"/>
      <w:sz w:val="26"/>
      <w:szCs w:val="26"/>
      <w:lang w:val="en-AU" w:eastAsia="en-US" w:bidi="ar-SA"/>
    </w:rPr>
  </w:style>
  <w:style w:type="character" w:customStyle="1" w:styleId="Para1Char">
    <w:name w:val="Para 1 Char"/>
    <w:link w:val="Para1"/>
    <w:rsid w:val="006E7541"/>
    <w:rPr>
      <w:sz w:val="26"/>
      <w:szCs w:val="26"/>
      <w:lang w:eastAsia="en-US"/>
    </w:rPr>
  </w:style>
  <w:style w:type="paragraph" w:styleId="ListParagraph">
    <w:name w:val="List Paragraph"/>
    <w:basedOn w:val="Normal"/>
    <w:uiPriority w:val="34"/>
    <w:qFormat/>
    <w:rsid w:val="00C13984"/>
    <w:pPr>
      <w:ind w:left="720"/>
    </w:pPr>
  </w:style>
  <w:style w:type="character" w:customStyle="1" w:styleId="Quote1Char">
    <w:name w:val="Quote 1 Char"/>
    <w:link w:val="Quote1"/>
    <w:uiPriority w:val="99"/>
    <w:locked/>
    <w:rsid w:val="00421F5B"/>
    <w:rPr>
      <w:sz w:val="24"/>
      <w:szCs w:val="24"/>
      <w:lang w:val="en-AU" w:eastAsia="en-US" w:bidi="ar-SA"/>
    </w:rPr>
  </w:style>
  <w:style w:type="character" w:customStyle="1" w:styleId="Para1Char1">
    <w:name w:val="Para 1 Char1"/>
    <w:uiPriority w:val="99"/>
    <w:locked/>
    <w:rsid w:val="000E5A74"/>
    <w:rPr>
      <w:sz w:val="26"/>
      <w:szCs w:val="26"/>
      <w:lang w:val="en-AU" w:eastAsia="en-US" w:bidi="ar-SA"/>
    </w:rPr>
  </w:style>
  <w:style w:type="paragraph" w:customStyle="1" w:styleId="Default">
    <w:name w:val="Default"/>
    <w:rsid w:val="00860374"/>
    <w:pPr>
      <w:autoSpaceDE w:val="0"/>
      <w:autoSpaceDN w:val="0"/>
      <w:adjustRightInd w:val="0"/>
    </w:pPr>
    <w:rPr>
      <w:rFonts w:ascii="Arial" w:hAnsi="Arial" w:cs="Arial"/>
      <w:color w:val="000000"/>
      <w:sz w:val="24"/>
      <w:szCs w:val="24"/>
    </w:rPr>
  </w:style>
  <w:style w:type="character" w:styleId="Hyperlink">
    <w:name w:val="Hyperlink"/>
    <w:uiPriority w:val="99"/>
    <w:rsid w:val="008C679A"/>
    <w:rPr>
      <w:color w:val="0044BB"/>
      <w:u w:val="single"/>
    </w:rPr>
  </w:style>
  <w:style w:type="table" w:styleId="TableGrid">
    <w:name w:val="Table Grid"/>
    <w:basedOn w:val="TableNormal"/>
    <w:rsid w:val="00C7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72BA2"/>
    <w:rPr>
      <w:lang w:eastAsia="en-US"/>
    </w:rPr>
  </w:style>
  <w:style w:type="character" w:customStyle="1" w:styleId="sup">
    <w:name w:val="sup"/>
    <w:rsid w:val="00620B84"/>
  </w:style>
  <w:style w:type="paragraph" w:customStyle="1" w:styleId="Conditions">
    <w:name w:val="Conditions"/>
    <w:basedOn w:val="Normal"/>
    <w:link w:val="ConditionsChar"/>
    <w:qFormat/>
    <w:rsid w:val="00A6065D"/>
    <w:pPr>
      <w:numPr>
        <w:numId w:val="9"/>
      </w:numPr>
      <w:spacing w:after="240"/>
      <w:ind w:left="567" w:hanging="567"/>
      <w:contextualSpacing/>
    </w:pPr>
    <w:rPr>
      <w:rFonts w:ascii="Arial" w:eastAsia="Calibri" w:hAnsi="Arial"/>
      <w:sz w:val="22"/>
      <w:szCs w:val="22"/>
      <w:lang w:val="en-GB"/>
    </w:rPr>
  </w:style>
  <w:style w:type="character" w:customStyle="1" w:styleId="ConditionsChar">
    <w:name w:val="Conditions Char"/>
    <w:link w:val="Conditions"/>
    <w:rsid w:val="00A6065D"/>
    <w:rPr>
      <w:rFonts w:ascii="Arial" w:eastAsia="Calibri" w:hAnsi="Arial"/>
      <w:sz w:val="22"/>
      <w:szCs w:val="22"/>
      <w:lang w:val="en-GB" w:eastAsia="en-US"/>
    </w:rPr>
  </w:style>
  <w:style w:type="character" w:customStyle="1" w:styleId="Order2Char1">
    <w:name w:val="Order 2 Char1"/>
    <w:link w:val="Order2"/>
    <w:locked/>
    <w:rsid w:val="00AB0A86"/>
    <w:rPr>
      <w:sz w:val="26"/>
      <w:szCs w:val="26"/>
      <w:lang w:eastAsia="en-US"/>
    </w:rPr>
  </w:style>
  <w:style w:type="character" w:customStyle="1" w:styleId="Heading1Char">
    <w:name w:val="Heading 1 Char"/>
    <w:link w:val="Heading1"/>
    <w:rsid w:val="00FB37DB"/>
    <w:rPr>
      <w:rFonts w:ascii="Arial" w:hAnsi="Arial"/>
      <w:b/>
      <w:bCs/>
      <w:caps/>
      <w:sz w:val="24"/>
      <w:szCs w:val="24"/>
      <w:lang w:val="en-AU" w:eastAsia="en-US" w:bidi="ar-SA"/>
    </w:rPr>
  </w:style>
  <w:style w:type="character" w:customStyle="1" w:styleId="Heading1Char1">
    <w:name w:val="Heading 1 Char1"/>
    <w:rsid w:val="00525524"/>
    <w:rPr>
      <w:rFonts w:ascii="Arial" w:hAnsi="Arial"/>
      <w:b/>
      <w:bCs/>
      <w:caps/>
      <w:sz w:val="24"/>
      <w:szCs w:val="24"/>
      <w:lang w:eastAsia="en-US"/>
    </w:rPr>
  </w:style>
  <w:style w:type="character" w:customStyle="1" w:styleId="Heading2Char">
    <w:name w:val="Heading 2 Char"/>
    <w:link w:val="Heading2"/>
    <w:rsid w:val="00A50B36"/>
    <w:rPr>
      <w:rFonts w:ascii="Arial" w:hAnsi="Arial"/>
      <w:b/>
      <w:iCs/>
      <w:caps/>
      <w:sz w:val="24"/>
      <w:szCs w:val="24"/>
      <w:lang w:eastAsia="en-US"/>
    </w:rPr>
  </w:style>
  <w:style w:type="character" w:customStyle="1" w:styleId="FootnoteTextChar1">
    <w:name w:val="Footnote Text Char1"/>
    <w:semiHidden/>
    <w:locked/>
    <w:rsid w:val="00E74ABB"/>
    <w:rPr>
      <w:lang w:val="en-AU" w:eastAsia="en-US"/>
    </w:rPr>
  </w:style>
  <w:style w:type="paragraph" w:styleId="NormalWeb">
    <w:name w:val="Normal (Web)"/>
    <w:basedOn w:val="Normal"/>
    <w:uiPriority w:val="99"/>
    <w:unhideWhenUsed/>
    <w:rsid w:val="00A254DD"/>
    <w:pPr>
      <w:spacing w:before="100" w:beforeAutospacing="1" w:after="100" w:afterAutospacing="1"/>
    </w:pPr>
    <w:rPr>
      <w:sz w:val="24"/>
      <w:szCs w:val="24"/>
      <w:lang w:eastAsia="en-AU"/>
    </w:rPr>
  </w:style>
  <w:style w:type="character" w:customStyle="1" w:styleId="apple-converted-space">
    <w:name w:val="apple-converted-space"/>
    <w:rsid w:val="0044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64">
      <w:bodyDiv w:val="1"/>
      <w:marLeft w:val="0"/>
      <w:marRight w:val="0"/>
      <w:marTop w:val="0"/>
      <w:marBottom w:val="0"/>
      <w:divBdr>
        <w:top w:val="none" w:sz="0" w:space="0" w:color="auto"/>
        <w:left w:val="none" w:sz="0" w:space="0" w:color="auto"/>
        <w:bottom w:val="none" w:sz="0" w:space="0" w:color="auto"/>
        <w:right w:val="none" w:sz="0" w:space="0" w:color="auto"/>
      </w:divBdr>
    </w:div>
    <w:div w:id="393696252">
      <w:bodyDiv w:val="1"/>
      <w:marLeft w:val="0"/>
      <w:marRight w:val="0"/>
      <w:marTop w:val="0"/>
      <w:marBottom w:val="0"/>
      <w:divBdr>
        <w:top w:val="none" w:sz="0" w:space="0" w:color="auto"/>
        <w:left w:val="none" w:sz="0" w:space="0" w:color="auto"/>
        <w:bottom w:val="none" w:sz="0" w:space="0" w:color="auto"/>
        <w:right w:val="none" w:sz="0" w:space="0" w:color="auto"/>
      </w:divBdr>
    </w:div>
    <w:div w:id="523709502">
      <w:bodyDiv w:val="1"/>
      <w:marLeft w:val="0"/>
      <w:marRight w:val="0"/>
      <w:marTop w:val="0"/>
      <w:marBottom w:val="0"/>
      <w:divBdr>
        <w:top w:val="none" w:sz="0" w:space="0" w:color="auto"/>
        <w:left w:val="none" w:sz="0" w:space="0" w:color="auto"/>
        <w:bottom w:val="none" w:sz="0" w:space="0" w:color="auto"/>
        <w:right w:val="none" w:sz="0" w:space="0" w:color="auto"/>
      </w:divBdr>
      <w:divsChild>
        <w:div w:id="448475690">
          <w:marLeft w:val="0"/>
          <w:marRight w:val="0"/>
          <w:marTop w:val="0"/>
          <w:marBottom w:val="0"/>
          <w:divBdr>
            <w:top w:val="none" w:sz="0" w:space="0" w:color="auto"/>
            <w:left w:val="none" w:sz="0" w:space="0" w:color="auto"/>
            <w:bottom w:val="none" w:sz="0" w:space="0" w:color="auto"/>
            <w:right w:val="none" w:sz="0" w:space="0" w:color="auto"/>
          </w:divBdr>
          <w:divsChild>
            <w:div w:id="2023585123">
              <w:marLeft w:val="0"/>
              <w:marRight w:val="0"/>
              <w:marTop w:val="0"/>
              <w:marBottom w:val="0"/>
              <w:divBdr>
                <w:top w:val="none" w:sz="0" w:space="0" w:color="auto"/>
                <w:left w:val="none" w:sz="0" w:space="0" w:color="auto"/>
                <w:bottom w:val="none" w:sz="0" w:space="0" w:color="auto"/>
                <w:right w:val="none" w:sz="0" w:space="0" w:color="auto"/>
              </w:divBdr>
            </w:div>
            <w:div w:id="21219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1840">
      <w:bodyDiv w:val="1"/>
      <w:marLeft w:val="0"/>
      <w:marRight w:val="0"/>
      <w:marTop w:val="0"/>
      <w:marBottom w:val="0"/>
      <w:divBdr>
        <w:top w:val="none" w:sz="0" w:space="0" w:color="auto"/>
        <w:left w:val="none" w:sz="0" w:space="0" w:color="auto"/>
        <w:bottom w:val="none" w:sz="0" w:space="0" w:color="auto"/>
        <w:right w:val="none" w:sz="0" w:space="0" w:color="auto"/>
      </w:divBdr>
    </w:div>
    <w:div w:id="614286564">
      <w:bodyDiv w:val="1"/>
      <w:marLeft w:val="0"/>
      <w:marRight w:val="0"/>
      <w:marTop w:val="0"/>
      <w:marBottom w:val="0"/>
      <w:divBdr>
        <w:top w:val="none" w:sz="0" w:space="0" w:color="auto"/>
        <w:left w:val="none" w:sz="0" w:space="0" w:color="auto"/>
        <w:bottom w:val="none" w:sz="0" w:space="0" w:color="auto"/>
        <w:right w:val="none" w:sz="0" w:space="0" w:color="auto"/>
      </w:divBdr>
    </w:div>
    <w:div w:id="738483236">
      <w:bodyDiv w:val="1"/>
      <w:marLeft w:val="0"/>
      <w:marRight w:val="0"/>
      <w:marTop w:val="0"/>
      <w:marBottom w:val="0"/>
      <w:divBdr>
        <w:top w:val="none" w:sz="0" w:space="0" w:color="auto"/>
        <w:left w:val="none" w:sz="0" w:space="0" w:color="auto"/>
        <w:bottom w:val="none" w:sz="0" w:space="0" w:color="auto"/>
        <w:right w:val="none" w:sz="0" w:space="0" w:color="auto"/>
      </w:divBdr>
      <w:divsChild>
        <w:div w:id="392194457">
          <w:marLeft w:val="0"/>
          <w:marRight w:val="0"/>
          <w:marTop w:val="0"/>
          <w:marBottom w:val="0"/>
          <w:divBdr>
            <w:top w:val="none" w:sz="0" w:space="0" w:color="auto"/>
            <w:left w:val="none" w:sz="0" w:space="0" w:color="auto"/>
            <w:bottom w:val="none" w:sz="0" w:space="0" w:color="auto"/>
            <w:right w:val="none" w:sz="0" w:space="0" w:color="auto"/>
          </w:divBdr>
          <w:divsChild>
            <w:div w:id="154343248">
              <w:marLeft w:val="0"/>
              <w:marRight w:val="0"/>
              <w:marTop w:val="0"/>
              <w:marBottom w:val="0"/>
              <w:divBdr>
                <w:top w:val="none" w:sz="0" w:space="0" w:color="auto"/>
                <w:left w:val="none" w:sz="0" w:space="0" w:color="auto"/>
                <w:bottom w:val="none" w:sz="0" w:space="0" w:color="auto"/>
                <w:right w:val="none" w:sz="0" w:space="0" w:color="auto"/>
              </w:divBdr>
            </w:div>
            <w:div w:id="948662637">
              <w:marLeft w:val="0"/>
              <w:marRight w:val="0"/>
              <w:marTop w:val="0"/>
              <w:marBottom w:val="0"/>
              <w:divBdr>
                <w:top w:val="none" w:sz="0" w:space="0" w:color="auto"/>
                <w:left w:val="none" w:sz="0" w:space="0" w:color="auto"/>
                <w:bottom w:val="none" w:sz="0" w:space="0" w:color="auto"/>
                <w:right w:val="none" w:sz="0" w:space="0" w:color="auto"/>
              </w:divBdr>
            </w:div>
            <w:div w:id="18919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839">
      <w:bodyDiv w:val="1"/>
      <w:marLeft w:val="0"/>
      <w:marRight w:val="0"/>
      <w:marTop w:val="0"/>
      <w:marBottom w:val="0"/>
      <w:divBdr>
        <w:top w:val="none" w:sz="0" w:space="0" w:color="auto"/>
        <w:left w:val="none" w:sz="0" w:space="0" w:color="auto"/>
        <w:bottom w:val="none" w:sz="0" w:space="0" w:color="auto"/>
        <w:right w:val="none" w:sz="0" w:space="0" w:color="auto"/>
      </w:divBdr>
    </w:div>
    <w:div w:id="774524388">
      <w:bodyDiv w:val="1"/>
      <w:marLeft w:val="0"/>
      <w:marRight w:val="0"/>
      <w:marTop w:val="0"/>
      <w:marBottom w:val="0"/>
      <w:divBdr>
        <w:top w:val="none" w:sz="0" w:space="0" w:color="auto"/>
        <w:left w:val="none" w:sz="0" w:space="0" w:color="auto"/>
        <w:bottom w:val="none" w:sz="0" w:space="0" w:color="auto"/>
        <w:right w:val="none" w:sz="0" w:space="0" w:color="auto"/>
      </w:divBdr>
    </w:div>
    <w:div w:id="990596800">
      <w:bodyDiv w:val="1"/>
      <w:marLeft w:val="0"/>
      <w:marRight w:val="0"/>
      <w:marTop w:val="0"/>
      <w:marBottom w:val="0"/>
      <w:divBdr>
        <w:top w:val="none" w:sz="0" w:space="0" w:color="auto"/>
        <w:left w:val="none" w:sz="0" w:space="0" w:color="auto"/>
        <w:bottom w:val="none" w:sz="0" w:space="0" w:color="auto"/>
        <w:right w:val="none" w:sz="0" w:space="0" w:color="auto"/>
      </w:divBdr>
    </w:div>
    <w:div w:id="1237086159">
      <w:bodyDiv w:val="1"/>
      <w:marLeft w:val="0"/>
      <w:marRight w:val="0"/>
      <w:marTop w:val="0"/>
      <w:marBottom w:val="0"/>
      <w:divBdr>
        <w:top w:val="none" w:sz="0" w:space="0" w:color="auto"/>
        <w:left w:val="none" w:sz="0" w:space="0" w:color="auto"/>
        <w:bottom w:val="none" w:sz="0" w:space="0" w:color="auto"/>
        <w:right w:val="none" w:sz="0" w:space="0" w:color="auto"/>
      </w:divBdr>
      <w:divsChild>
        <w:div w:id="1982807179">
          <w:marLeft w:val="0"/>
          <w:marRight w:val="0"/>
          <w:marTop w:val="0"/>
          <w:marBottom w:val="0"/>
          <w:divBdr>
            <w:top w:val="none" w:sz="0" w:space="0" w:color="auto"/>
            <w:left w:val="none" w:sz="0" w:space="0" w:color="auto"/>
            <w:bottom w:val="none" w:sz="0" w:space="0" w:color="auto"/>
            <w:right w:val="none" w:sz="0" w:space="0" w:color="auto"/>
          </w:divBdr>
          <w:divsChild>
            <w:div w:id="6464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651">
      <w:bodyDiv w:val="1"/>
      <w:marLeft w:val="0"/>
      <w:marRight w:val="0"/>
      <w:marTop w:val="0"/>
      <w:marBottom w:val="0"/>
      <w:divBdr>
        <w:top w:val="none" w:sz="0" w:space="0" w:color="auto"/>
        <w:left w:val="none" w:sz="0" w:space="0" w:color="auto"/>
        <w:bottom w:val="none" w:sz="0" w:space="0" w:color="auto"/>
        <w:right w:val="none" w:sz="0" w:space="0" w:color="auto"/>
      </w:divBdr>
      <w:divsChild>
        <w:div w:id="250747558">
          <w:marLeft w:val="0"/>
          <w:marRight w:val="0"/>
          <w:marTop w:val="0"/>
          <w:marBottom w:val="0"/>
          <w:divBdr>
            <w:top w:val="none" w:sz="0" w:space="0" w:color="auto"/>
            <w:left w:val="none" w:sz="0" w:space="0" w:color="auto"/>
            <w:bottom w:val="none" w:sz="0" w:space="0" w:color="auto"/>
            <w:right w:val="none" w:sz="0" w:space="0" w:color="auto"/>
          </w:divBdr>
        </w:div>
        <w:div w:id="861406832">
          <w:marLeft w:val="0"/>
          <w:marRight w:val="0"/>
          <w:marTop w:val="0"/>
          <w:marBottom w:val="0"/>
          <w:divBdr>
            <w:top w:val="none" w:sz="0" w:space="0" w:color="auto"/>
            <w:left w:val="none" w:sz="0" w:space="0" w:color="auto"/>
            <w:bottom w:val="none" w:sz="0" w:space="0" w:color="auto"/>
            <w:right w:val="none" w:sz="0" w:space="0" w:color="auto"/>
          </w:divBdr>
        </w:div>
        <w:div w:id="1515531546">
          <w:marLeft w:val="0"/>
          <w:marRight w:val="0"/>
          <w:marTop w:val="0"/>
          <w:marBottom w:val="0"/>
          <w:divBdr>
            <w:top w:val="none" w:sz="0" w:space="0" w:color="auto"/>
            <w:left w:val="none" w:sz="0" w:space="0" w:color="auto"/>
            <w:bottom w:val="none" w:sz="0" w:space="0" w:color="auto"/>
            <w:right w:val="none" w:sz="0" w:space="0" w:color="auto"/>
          </w:divBdr>
        </w:div>
      </w:divsChild>
    </w:div>
    <w:div w:id="1583565690">
      <w:bodyDiv w:val="1"/>
      <w:marLeft w:val="0"/>
      <w:marRight w:val="0"/>
      <w:marTop w:val="0"/>
      <w:marBottom w:val="0"/>
      <w:divBdr>
        <w:top w:val="none" w:sz="0" w:space="0" w:color="auto"/>
        <w:left w:val="none" w:sz="0" w:space="0" w:color="auto"/>
        <w:bottom w:val="none" w:sz="0" w:space="0" w:color="auto"/>
        <w:right w:val="none" w:sz="0" w:space="0" w:color="auto"/>
      </w:divBdr>
      <w:divsChild>
        <w:div w:id="18823676">
          <w:marLeft w:val="0"/>
          <w:marRight w:val="0"/>
          <w:marTop w:val="0"/>
          <w:marBottom w:val="0"/>
          <w:divBdr>
            <w:top w:val="none" w:sz="0" w:space="0" w:color="auto"/>
            <w:left w:val="none" w:sz="0" w:space="0" w:color="auto"/>
            <w:bottom w:val="none" w:sz="0" w:space="0" w:color="auto"/>
            <w:right w:val="none" w:sz="0" w:space="0" w:color="auto"/>
          </w:divBdr>
        </w:div>
        <w:div w:id="247736318">
          <w:marLeft w:val="0"/>
          <w:marRight w:val="0"/>
          <w:marTop w:val="0"/>
          <w:marBottom w:val="0"/>
          <w:divBdr>
            <w:top w:val="none" w:sz="0" w:space="0" w:color="auto"/>
            <w:left w:val="none" w:sz="0" w:space="0" w:color="auto"/>
            <w:bottom w:val="none" w:sz="0" w:space="0" w:color="auto"/>
            <w:right w:val="none" w:sz="0" w:space="0" w:color="auto"/>
          </w:divBdr>
        </w:div>
        <w:div w:id="529563135">
          <w:marLeft w:val="0"/>
          <w:marRight w:val="0"/>
          <w:marTop w:val="0"/>
          <w:marBottom w:val="0"/>
          <w:divBdr>
            <w:top w:val="none" w:sz="0" w:space="0" w:color="auto"/>
            <w:left w:val="none" w:sz="0" w:space="0" w:color="auto"/>
            <w:bottom w:val="none" w:sz="0" w:space="0" w:color="auto"/>
            <w:right w:val="none" w:sz="0" w:space="0" w:color="auto"/>
          </w:divBdr>
        </w:div>
        <w:div w:id="600576594">
          <w:marLeft w:val="0"/>
          <w:marRight w:val="0"/>
          <w:marTop w:val="0"/>
          <w:marBottom w:val="0"/>
          <w:divBdr>
            <w:top w:val="none" w:sz="0" w:space="0" w:color="auto"/>
            <w:left w:val="none" w:sz="0" w:space="0" w:color="auto"/>
            <w:bottom w:val="none" w:sz="0" w:space="0" w:color="auto"/>
            <w:right w:val="none" w:sz="0" w:space="0" w:color="auto"/>
          </w:divBdr>
        </w:div>
        <w:div w:id="1176992536">
          <w:marLeft w:val="0"/>
          <w:marRight w:val="0"/>
          <w:marTop w:val="0"/>
          <w:marBottom w:val="0"/>
          <w:divBdr>
            <w:top w:val="none" w:sz="0" w:space="0" w:color="auto"/>
            <w:left w:val="none" w:sz="0" w:space="0" w:color="auto"/>
            <w:bottom w:val="none" w:sz="0" w:space="0" w:color="auto"/>
            <w:right w:val="none" w:sz="0" w:space="0" w:color="auto"/>
          </w:divBdr>
        </w:div>
        <w:div w:id="1353724179">
          <w:marLeft w:val="0"/>
          <w:marRight w:val="0"/>
          <w:marTop w:val="0"/>
          <w:marBottom w:val="0"/>
          <w:divBdr>
            <w:top w:val="none" w:sz="0" w:space="0" w:color="auto"/>
            <w:left w:val="none" w:sz="0" w:space="0" w:color="auto"/>
            <w:bottom w:val="none" w:sz="0" w:space="0" w:color="auto"/>
            <w:right w:val="none" w:sz="0" w:space="0" w:color="auto"/>
          </w:divBdr>
        </w:div>
        <w:div w:id="1554582486">
          <w:marLeft w:val="0"/>
          <w:marRight w:val="0"/>
          <w:marTop w:val="0"/>
          <w:marBottom w:val="0"/>
          <w:divBdr>
            <w:top w:val="none" w:sz="0" w:space="0" w:color="auto"/>
            <w:left w:val="none" w:sz="0" w:space="0" w:color="auto"/>
            <w:bottom w:val="none" w:sz="0" w:space="0" w:color="auto"/>
            <w:right w:val="none" w:sz="0" w:space="0" w:color="auto"/>
          </w:divBdr>
        </w:div>
        <w:div w:id="1942101246">
          <w:marLeft w:val="0"/>
          <w:marRight w:val="0"/>
          <w:marTop w:val="0"/>
          <w:marBottom w:val="0"/>
          <w:divBdr>
            <w:top w:val="none" w:sz="0" w:space="0" w:color="auto"/>
            <w:left w:val="none" w:sz="0" w:space="0" w:color="auto"/>
            <w:bottom w:val="none" w:sz="0" w:space="0" w:color="auto"/>
            <w:right w:val="none" w:sz="0" w:space="0" w:color="auto"/>
          </w:divBdr>
        </w:div>
        <w:div w:id="1994212857">
          <w:marLeft w:val="0"/>
          <w:marRight w:val="0"/>
          <w:marTop w:val="0"/>
          <w:marBottom w:val="0"/>
          <w:divBdr>
            <w:top w:val="none" w:sz="0" w:space="0" w:color="auto"/>
            <w:left w:val="none" w:sz="0" w:space="0" w:color="auto"/>
            <w:bottom w:val="none" w:sz="0" w:space="0" w:color="auto"/>
            <w:right w:val="none" w:sz="0" w:space="0" w:color="auto"/>
          </w:divBdr>
        </w:div>
      </w:divsChild>
    </w:div>
    <w:div w:id="1619138975">
      <w:bodyDiv w:val="1"/>
      <w:marLeft w:val="0"/>
      <w:marRight w:val="0"/>
      <w:marTop w:val="0"/>
      <w:marBottom w:val="0"/>
      <w:divBdr>
        <w:top w:val="none" w:sz="0" w:space="0" w:color="auto"/>
        <w:left w:val="none" w:sz="0" w:space="0" w:color="auto"/>
        <w:bottom w:val="none" w:sz="0" w:space="0" w:color="auto"/>
        <w:right w:val="none" w:sz="0" w:space="0" w:color="auto"/>
      </w:divBdr>
    </w:div>
    <w:div w:id="1937011664">
      <w:bodyDiv w:val="1"/>
      <w:marLeft w:val="0"/>
      <w:marRight w:val="0"/>
      <w:marTop w:val="0"/>
      <w:marBottom w:val="0"/>
      <w:divBdr>
        <w:top w:val="none" w:sz="0" w:space="0" w:color="auto"/>
        <w:left w:val="none" w:sz="0" w:space="0" w:color="auto"/>
        <w:bottom w:val="none" w:sz="0" w:space="0" w:color="auto"/>
        <w:right w:val="none" w:sz="0" w:space="0" w:color="auto"/>
      </w:divBdr>
    </w:div>
    <w:div w:id="2021081916">
      <w:bodyDiv w:val="1"/>
      <w:marLeft w:val="0"/>
      <w:marRight w:val="0"/>
      <w:marTop w:val="0"/>
      <w:marBottom w:val="0"/>
      <w:divBdr>
        <w:top w:val="none" w:sz="0" w:space="0" w:color="auto"/>
        <w:left w:val="none" w:sz="0" w:space="0" w:color="auto"/>
        <w:bottom w:val="none" w:sz="0" w:space="0" w:color="auto"/>
        <w:right w:val="none" w:sz="0" w:space="0" w:color="auto"/>
      </w:divBdr>
      <w:divsChild>
        <w:div w:id="780145418">
          <w:marLeft w:val="0"/>
          <w:marRight w:val="0"/>
          <w:marTop w:val="0"/>
          <w:marBottom w:val="0"/>
          <w:divBdr>
            <w:top w:val="none" w:sz="0" w:space="0" w:color="auto"/>
            <w:left w:val="none" w:sz="0" w:space="0" w:color="auto"/>
            <w:bottom w:val="none" w:sz="0" w:space="0" w:color="auto"/>
            <w:right w:val="none" w:sz="0" w:space="0" w:color="auto"/>
          </w:divBdr>
          <w:divsChild>
            <w:div w:id="3362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EE9D-CE6D-4E07-92C2-DBE886FB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28386</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mbaird</dc:creator>
  <cp:keywords/>
  <cp:lastModifiedBy>Morsal Bashir</cp:lastModifiedBy>
  <cp:revision>3</cp:revision>
  <cp:lastPrinted>2019-03-06T21:26:00Z</cp:lastPrinted>
  <dcterms:created xsi:type="dcterms:W3CDTF">2019-03-11T22:10:00Z</dcterms:created>
  <dcterms:modified xsi:type="dcterms:W3CDTF">2019-03-11T22:10:00Z</dcterms:modified>
</cp:coreProperties>
</file>