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4EA" w:rsidRPr="00DF11FF" w:rsidRDefault="004504EA" w:rsidP="004504EA">
      <w:pPr>
        <w:pStyle w:val="ActTitle"/>
        <w:rPr>
          <w:rFonts w:cs="Arial"/>
          <w:sz w:val="20"/>
        </w:rPr>
      </w:pPr>
      <w:r w:rsidRPr="00DF11FF">
        <w:rPr>
          <w:rFonts w:cs="Arial"/>
          <w:sz w:val="20"/>
        </w:rPr>
        <w:t>Planning and Environment Act 1987</w:t>
      </w:r>
    </w:p>
    <w:p w:rsidR="004504EA" w:rsidRPr="00DF11FF" w:rsidRDefault="004504EA" w:rsidP="004504EA">
      <w:pPr>
        <w:pStyle w:val="Heading1"/>
        <w:rPr>
          <w:rFonts w:cs="Arial"/>
          <w:sz w:val="28"/>
          <w:szCs w:val="28"/>
        </w:rPr>
      </w:pPr>
      <w:r w:rsidRPr="00DF11FF">
        <w:rPr>
          <w:rFonts w:cs="Arial"/>
          <w:bCs w:val="0"/>
          <w:sz w:val="28"/>
          <w:szCs w:val="28"/>
          <w:lang w:val="en-GB"/>
        </w:rPr>
        <w:t>Monash</w:t>
      </w:r>
      <w:r w:rsidRPr="00DF11FF">
        <w:rPr>
          <w:rFonts w:cs="Arial"/>
          <w:sz w:val="28"/>
          <w:szCs w:val="28"/>
        </w:rPr>
        <w:t xml:space="preserve"> PLANNING SCHEME</w:t>
      </w:r>
    </w:p>
    <w:p w:rsidR="000F0B2A" w:rsidRPr="00DF11FF" w:rsidRDefault="004504EA" w:rsidP="00031D76">
      <w:pPr>
        <w:pStyle w:val="Heading1"/>
        <w:rPr>
          <w:rFonts w:cs="Arial"/>
          <w:bCs w:val="0"/>
          <w:caps w:val="0"/>
          <w:sz w:val="28"/>
          <w:szCs w:val="28"/>
          <w:lang w:val="en-GB"/>
        </w:rPr>
      </w:pPr>
      <w:r w:rsidRPr="00DF11FF">
        <w:rPr>
          <w:rFonts w:cs="Arial"/>
          <w:sz w:val="28"/>
          <w:szCs w:val="28"/>
        </w:rPr>
        <w:t>AMENDMENT C</w:t>
      </w:r>
      <w:r w:rsidR="00BB5082" w:rsidRPr="00DF11FF">
        <w:rPr>
          <w:rFonts w:cs="Arial"/>
          <w:bCs w:val="0"/>
          <w:caps w:val="0"/>
          <w:sz w:val="28"/>
          <w:szCs w:val="28"/>
          <w:lang w:val="en-GB"/>
        </w:rPr>
        <w:t>131</w:t>
      </w:r>
    </w:p>
    <w:p w:rsidR="004504EA" w:rsidRPr="00DF11FF" w:rsidRDefault="004504EA" w:rsidP="004504EA">
      <w:pPr>
        <w:pStyle w:val="Heading1"/>
        <w:rPr>
          <w:rFonts w:cs="Arial"/>
          <w:szCs w:val="24"/>
        </w:rPr>
      </w:pPr>
      <w:r w:rsidRPr="00DF11FF">
        <w:rPr>
          <w:rFonts w:cs="Arial"/>
          <w:szCs w:val="24"/>
        </w:rPr>
        <w:t>EXPLANATORY REPORT</w:t>
      </w:r>
    </w:p>
    <w:p w:rsidR="004504EA" w:rsidRPr="00DF11FF" w:rsidRDefault="004504EA" w:rsidP="004504EA">
      <w:pPr>
        <w:pStyle w:val="Heading2"/>
        <w:spacing w:before="240" w:after="240"/>
        <w:jc w:val="left"/>
        <w:rPr>
          <w:rFonts w:cs="Arial"/>
          <w:sz w:val="20"/>
        </w:rPr>
      </w:pPr>
      <w:r w:rsidRPr="00DF11FF">
        <w:rPr>
          <w:rFonts w:cs="Arial"/>
          <w:sz w:val="20"/>
        </w:rPr>
        <w:t>Who is the planning authority?</w:t>
      </w:r>
    </w:p>
    <w:p w:rsidR="004504EA" w:rsidRPr="00DF11FF" w:rsidRDefault="004504EA" w:rsidP="004504EA">
      <w:pPr>
        <w:jc w:val="left"/>
        <w:rPr>
          <w:rFonts w:ascii="Arial" w:hAnsi="Arial" w:cs="Arial"/>
          <w:sz w:val="20"/>
        </w:rPr>
      </w:pPr>
      <w:r w:rsidRPr="00DF11FF">
        <w:rPr>
          <w:rFonts w:ascii="Arial" w:hAnsi="Arial" w:cs="Arial"/>
          <w:sz w:val="20"/>
        </w:rPr>
        <w:t xml:space="preserve">This amendment has been prepared by the </w:t>
      </w:r>
      <w:r w:rsidRPr="00DF11FF">
        <w:rPr>
          <w:rFonts w:ascii="Arial" w:hAnsi="Arial" w:cs="Arial"/>
          <w:sz w:val="20"/>
          <w:lang w:val="en-GB"/>
        </w:rPr>
        <w:t xml:space="preserve">Monash City Council, who </w:t>
      </w:r>
      <w:r w:rsidRPr="00DF11FF">
        <w:rPr>
          <w:rFonts w:ascii="Arial" w:hAnsi="Arial" w:cs="Arial"/>
          <w:sz w:val="20"/>
        </w:rPr>
        <w:t>is the planning authority for this amendment.</w:t>
      </w:r>
    </w:p>
    <w:p w:rsidR="004504EA" w:rsidRPr="00DF11FF" w:rsidRDefault="004504EA" w:rsidP="004504EA">
      <w:pPr>
        <w:jc w:val="left"/>
        <w:rPr>
          <w:rFonts w:ascii="Arial" w:hAnsi="Arial" w:cs="Arial"/>
          <w:sz w:val="20"/>
        </w:rPr>
      </w:pPr>
      <w:r w:rsidRPr="00DF11FF">
        <w:rPr>
          <w:rFonts w:ascii="Arial" w:hAnsi="Arial" w:cs="Arial"/>
          <w:sz w:val="20"/>
        </w:rPr>
        <w:t xml:space="preserve">The Amendment has been made at the request of </w:t>
      </w:r>
      <w:r w:rsidRPr="00DF11FF">
        <w:rPr>
          <w:rFonts w:ascii="Arial" w:hAnsi="Arial" w:cs="Arial"/>
          <w:sz w:val="20"/>
          <w:lang w:val="en-GB"/>
        </w:rPr>
        <w:t>Polykastron 4x4 Pty Ltd</w:t>
      </w:r>
      <w:r w:rsidR="00BB5082" w:rsidRPr="00DF11FF">
        <w:rPr>
          <w:rFonts w:ascii="Arial" w:hAnsi="Arial" w:cs="Arial"/>
          <w:sz w:val="20"/>
          <w:lang w:val="en-GB"/>
        </w:rPr>
        <w:t>.</w:t>
      </w:r>
    </w:p>
    <w:p w:rsidR="004504EA" w:rsidRPr="00DF11FF" w:rsidRDefault="004504EA" w:rsidP="004504EA">
      <w:pPr>
        <w:pStyle w:val="Heading2"/>
        <w:spacing w:before="240" w:after="240"/>
        <w:jc w:val="left"/>
        <w:rPr>
          <w:rFonts w:cs="Arial"/>
          <w:sz w:val="20"/>
        </w:rPr>
      </w:pPr>
      <w:r w:rsidRPr="00DF11FF">
        <w:rPr>
          <w:rFonts w:cs="Arial"/>
          <w:sz w:val="20"/>
        </w:rPr>
        <w:t>Land affected by the Amendment</w:t>
      </w:r>
    </w:p>
    <w:p w:rsidR="004504EA" w:rsidRDefault="004504EA" w:rsidP="004504EA">
      <w:pPr>
        <w:jc w:val="left"/>
        <w:rPr>
          <w:rFonts w:ascii="Arial" w:hAnsi="Arial" w:cs="Arial"/>
          <w:sz w:val="20"/>
        </w:rPr>
      </w:pPr>
      <w:r w:rsidRPr="00DF11FF">
        <w:rPr>
          <w:rFonts w:ascii="Arial" w:hAnsi="Arial" w:cs="Arial"/>
          <w:sz w:val="20"/>
        </w:rPr>
        <w:t>The Amendment applies to 256-262 Huntingdale Road, Huntingdale which comprises lots 1, 2 and lot 3 on TP876809.  The sit</w:t>
      </w:r>
      <w:r w:rsidR="00E847EF">
        <w:rPr>
          <w:rFonts w:ascii="Arial" w:hAnsi="Arial" w:cs="Arial"/>
          <w:sz w:val="20"/>
        </w:rPr>
        <w:t>e sits across two</w:t>
      </w:r>
      <w:r w:rsidR="00031D76" w:rsidRPr="00DF11FF">
        <w:rPr>
          <w:rFonts w:ascii="Arial" w:hAnsi="Arial" w:cs="Arial"/>
          <w:sz w:val="20"/>
        </w:rPr>
        <w:t xml:space="preserve"> zones with lot 1</w:t>
      </w:r>
      <w:r w:rsidRPr="00DF11FF">
        <w:rPr>
          <w:rFonts w:ascii="Arial" w:hAnsi="Arial" w:cs="Arial"/>
          <w:sz w:val="20"/>
        </w:rPr>
        <w:t xml:space="preserve"> located within the Industrial 1 Zone and lot 2 and 3 located within a General Residential Zone – Schedule 2.</w:t>
      </w:r>
      <w:r w:rsidR="00252975">
        <w:rPr>
          <w:rFonts w:ascii="Arial" w:hAnsi="Arial" w:cs="Arial"/>
          <w:sz w:val="20"/>
        </w:rPr>
        <w:t xml:space="preserve"> </w:t>
      </w:r>
    </w:p>
    <w:p w:rsidR="00252975" w:rsidRPr="00DF11FF" w:rsidRDefault="00252975" w:rsidP="004504EA">
      <w:pPr>
        <w:jc w:val="left"/>
        <w:rPr>
          <w:rFonts w:ascii="Arial" w:hAnsi="Arial" w:cs="Arial"/>
          <w:sz w:val="20"/>
        </w:rPr>
      </w:pPr>
      <w:r>
        <w:rPr>
          <w:rFonts w:ascii="Arial" w:hAnsi="Arial" w:cs="Arial"/>
          <w:sz w:val="20"/>
        </w:rPr>
        <w:t>The site abuts land in the General Residential Zone 2 on its</w:t>
      </w:r>
      <w:r w:rsidR="004E0DF7">
        <w:rPr>
          <w:rFonts w:ascii="Arial" w:hAnsi="Arial" w:cs="Arial"/>
          <w:sz w:val="20"/>
        </w:rPr>
        <w:t xml:space="preserve"> northern, eastern and southern boundaries. The western site </w:t>
      </w:r>
      <w:r w:rsidR="00CC497C">
        <w:rPr>
          <w:rFonts w:ascii="Arial" w:hAnsi="Arial" w:cs="Arial"/>
          <w:sz w:val="20"/>
        </w:rPr>
        <w:t>boundary abuts Huntingdale Road and</w:t>
      </w:r>
      <w:r w:rsidR="004E0DF7">
        <w:rPr>
          <w:rFonts w:ascii="Arial" w:hAnsi="Arial" w:cs="Arial"/>
          <w:sz w:val="20"/>
        </w:rPr>
        <w:t xml:space="preserve"> immediately to the west of Huntingdale Road is land within the Industrial 1 Zone.</w:t>
      </w:r>
    </w:p>
    <w:p w:rsidR="00031D76" w:rsidRPr="00E847EF" w:rsidRDefault="004504EA" w:rsidP="004504EA">
      <w:pPr>
        <w:jc w:val="left"/>
        <w:rPr>
          <w:rFonts w:ascii="Arial" w:hAnsi="Arial" w:cs="Arial"/>
          <w:sz w:val="20"/>
        </w:rPr>
      </w:pPr>
      <w:r w:rsidRPr="00DF11FF">
        <w:rPr>
          <w:rFonts w:ascii="Arial" w:hAnsi="Arial" w:cs="Arial"/>
          <w:sz w:val="20"/>
        </w:rPr>
        <w:t xml:space="preserve">A mapping reference table is attached at Attachment </w:t>
      </w:r>
      <w:r w:rsidRPr="00DF11FF">
        <w:rPr>
          <w:rFonts w:ascii="Arial" w:hAnsi="Arial" w:cs="Arial"/>
          <w:sz w:val="20"/>
          <w:lang w:val="en-GB"/>
        </w:rPr>
        <w:t>A</w:t>
      </w:r>
      <w:r w:rsidRPr="00DF11FF">
        <w:rPr>
          <w:rFonts w:ascii="Arial" w:hAnsi="Arial" w:cs="Arial"/>
          <w:sz w:val="20"/>
        </w:rPr>
        <w:t xml:space="preserve"> to this </w:t>
      </w:r>
      <w:r w:rsidRPr="00E847EF">
        <w:rPr>
          <w:rFonts w:ascii="Arial" w:hAnsi="Arial" w:cs="Arial"/>
          <w:sz w:val="20"/>
        </w:rPr>
        <w:t xml:space="preserve">Explanatory Report. </w:t>
      </w:r>
    </w:p>
    <w:p w:rsidR="004504EA" w:rsidRPr="00E847EF" w:rsidRDefault="004504EA" w:rsidP="004504EA">
      <w:pPr>
        <w:pStyle w:val="Heading2"/>
        <w:spacing w:before="240" w:after="240"/>
        <w:jc w:val="left"/>
        <w:rPr>
          <w:rFonts w:cs="Arial"/>
          <w:sz w:val="20"/>
        </w:rPr>
      </w:pPr>
      <w:r w:rsidRPr="00E847EF">
        <w:rPr>
          <w:rFonts w:cs="Arial"/>
          <w:sz w:val="20"/>
        </w:rPr>
        <w:t>What the amendment does</w:t>
      </w:r>
    </w:p>
    <w:p w:rsidR="004504EA" w:rsidRPr="00DF11FF" w:rsidRDefault="004504EA" w:rsidP="004504EA">
      <w:pPr>
        <w:jc w:val="left"/>
        <w:rPr>
          <w:rFonts w:ascii="Arial" w:hAnsi="Arial" w:cs="Arial"/>
          <w:sz w:val="20"/>
        </w:rPr>
      </w:pPr>
      <w:r w:rsidRPr="00DF11FF">
        <w:rPr>
          <w:rFonts w:ascii="Arial" w:hAnsi="Arial" w:cs="Arial"/>
          <w:sz w:val="20"/>
        </w:rPr>
        <w:t xml:space="preserve">The Amendment </w:t>
      </w:r>
      <w:r w:rsidR="00C812C6">
        <w:rPr>
          <w:rFonts w:ascii="Arial" w:hAnsi="Arial" w:cs="Arial"/>
          <w:sz w:val="20"/>
        </w:rPr>
        <w:t xml:space="preserve">applies to </w:t>
      </w:r>
      <w:r w:rsidRPr="00DF11FF">
        <w:rPr>
          <w:rFonts w:ascii="Arial" w:hAnsi="Arial" w:cs="Arial"/>
          <w:sz w:val="20"/>
        </w:rPr>
        <w:t>land at 256-262 Huntingdale Road</w:t>
      </w:r>
      <w:r w:rsidR="00C812C6">
        <w:rPr>
          <w:rFonts w:ascii="Arial" w:hAnsi="Arial" w:cs="Arial"/>
          <w:sz w:val="20"/>
        </w:rPr>
        <w:t>, Huntingdale</w:t>
      </w:r>
      <w:r w:rsidRPr="00DF11FF">
        <w:rPr>
          <w:rFonts w:ascii="Arial" w:hAnsi="Arial" w:cs="Arial"/>
          <w:sz w:val="20"/>
        </w:rPr>
        <w:t xml:space="preserve">. </w:t>
      </w:r>
    </w:p>
    <w:p w:rsidR="004504EA" w:rsidRPr="00DF11FF" w:rsidRDefault="00C812C6" w:rsidP="004504EA">
      <w:pPr>
        <w:jc w:val="left"/>
        <w:rPr>
          <w:rFonts w:ascii="Arial" w:hAnsi="Arial" w:cs="Arial"/>
          <w:sz w:val="20"/>
        </w:rPr>
      </w:pPr>
      <w:r>
        <w:rPr>
          <w:rFonts w:ascii="Arial" w:hAnsi="Arial" w:cs="Arial"/>
          <w:sz w:val="20"/>
        </w:rPr>
        <w:t>This A</w:t>
      </w:r>
      <w:r w:rsidR="004504EA" w:rsidRPr="00DF11FF">
        <w:rPr>
          <w:rFonts w:ascii="Arial" w:hAnsi="Arial" w:cs="Arial"/>
          <w:sz w:val="20"/>
        </w:rPr>
        <w:t>mendment:</w:t>
      </w:r>
      <w:bookmarkStart w:id="0" w:name="_GoBack"/>
      <w:bookmarkEnd w:id="0"/>
    </w:p>
    <w:p w:rsidR="004504EA" w:rsidRPr="00DF11FF" w:rsidRDefault="004504EA" w:rsidP="004504EA">
      <w:pPr>
        <w:pStyle w:val="ListParagraph"/>
        <w:numPr>
          <w:ilvl w:val="0"/>
          <w:numId w:val="4"/>
        </w:numPr>
        <w:jc w:val="left"/>
        <w:rPr>
          <w:rFonts w:ascii="Arial" w:hAnsi="Arial" w:cs="Arial"/>
          <w:sz w:val="20"/>
        </w:rPr>
      </w:pPr>
      <w:r w:rsidRPr="00DF11FF">
        <w:rPr>
          <w:rFonts w:ascii="Arial" w:hAnsi="Arial" w:cs="Arial"/>
          <w:sz w:val="20"/>
        </w:rPr>
        <w:t>Rezones the whole site from part Industrial 1 Zone and part Gen</w:t>
      </w:r>
      <w:r w:rsidR="005A3010" w:rsidRPr="00DF11FF">
        <w:rPr>
          <w:rFonts w:ascii="Arial" w:hAnsi="Arial" w:cs="Arial"/>
          <w:sz w:val="20"/>
        </w:rPr>
        <w:t>eral Residential Zone</w:t>
      </w:r>
      <w:r w:rsidR="00C812C6">
        <w:rPr>
          <w:rFonts w:ascii="Arial" w:hAnsi="Arial" w:cs="Arial"/>
          <w:sz w:val="20"/>
        </w:rPr>
        <w:t xml:space="preserve"> 2 to a </w:t>
      </w:r>
      <w:r w:rsidR="005A3010" w:rsidRPr="00DF11FF">
        <w:rPr>
          <w:rFonts w:ascii="Arial" w:hAnsi="Arial" w:cs="Arial"/>
          <w:sz w:val="20"/>
        </w:rPr>
        <w:t xml:space="preserve">Residential </w:t>
      </w:r>
      <w:r w:rsidR="00C812C6">
        <w:rPr>
          <w:rFonts w:ascii="Arial" w:hAnsi="Arial" w:cs="Arial"/>
          <w:sz w:val="20"/>
        </w:rPr>
        <w:t>Growth Zone 5;</w:t>
      </w:r>
    </w:p>
    <w:p w:rsidR="005A3010" w:rsidRPr="00DF11FF" w:rsidRDefault="004504EA" w:rsidP="0058037E">
      <w:pPr>
        <w:pStyle w:val="ListParagraph"/>
        <w:numPr>
          <w:ilvl w:val="0"/>
          <w:numId w:val="4"/>
        </w:numPr>
        <w:jc w:val="left"/>
        <w:rPr>
          <w:rFonts w:ascii="Arial" w:hAnsi="Arial" w:cs="Arial"/>
          <w:sz w:val="20"/>
        </w:rPr>
      </w:pPr>
      <w:r w:rsidRPr="00DF11FF">
        <w:rPr>
          <w:rFonts w:ascii="Arial" w:hAnsi="Arial" w:cs="Arial"/>
          <w:sz w:val="20"/>
        </w:rPr>
        <w:t>Deletes the Design and Development Overlay Schedule 1</w:t>
      </w:r>
      <w:r w:rsidR="00C812C6">
        <w:rPr>
          <w:rFonts w:ascii="Arial" w:hAnsi="Arial" w:cs="Arial"/>
          <w:sz w:val="20"/>
        </w:rPr>
        <w:t xml:space="preserve">; and </w:t>
      </w:r>
      <w:r w:rsidRPr="00DF11FF">
        <w:rPr>
          <w:rFonts w:ascii="Arial" w:hAnsi="Arial" w:cs="Arial"/>
          <w:sz w:val="20"/>
        </w:rPr>
        <w:t xml:space="preserve"> </w:t>
      </w:r>
    </w:p>
    <w:p w:rsidR="00031D76" w:rsidRPr="00DF11FF" w:rsidRDefault="00031D76" w:rsidP="004504EA">
      <w:pPr>
        <w:pStyle w:val="ListParagraph"/>
        <w:numPr>
          <w:ilvl w:val="0"/>
          <w:numId w:val="4"/>
        </w:numPr>
        <w:jc w:val="left"/>
        <w:rPr>
          <w:rFonts w:ascii="Arial" w:hAnsi="Arial" w:cs="Arial"/>
          <w:sz w:val="20"/>
        </w:rPr>
      </w:pPr>
      <w:r w:rsidRPr="00DF11FF">
        <w:rPr>
          <w:rFonts w:ascii="Arial" w:hAnsi="Arial" w:cs="Arial"/>
          <w:sz w:val="20"/>
        </w:rPr>
        <w:t>Applies the Environmental Audit Overlay</w:t>
      </w:r>
      <w:r w:rsidR="00C54642" w:rsidRPr="00DF11FF">
        <w:rPr>
          <w:rFonts w:ascii="Arial" w:hAnsi="Arial" w:cs="Arial"/>
          <w:sz w:val="20"/>
        </w:rPr>
        <w:t xml:space="preserve"> (EAO) over </w:t>
      </w:r>
      <w:r w:rsidR="005A3010" w:rsidRPr="00DF11FF">
        <w:rPr>
          <w:rFonts w:ascii="Arial" w:hAnsi="Arial" w:cs="Arial"/>
          <w:sz w:val="20"/>
        </w:rPr>
        <w:t>the land</w:t>
      </w:r>
      <w:r w:rsidR="00C812C6">
        <w:rPr>
          <w:rFonts w:ascii="Arial" w:hAnsi="Arial" w:cs="Arial"/>
          <w:sz w:val="20"/>
        </w:rPr>
        <w:t>.</w:t>
      </w:r>
    </w:p>
    <w:p w:rsidR="004504EA" w:rsidRPr="00DF11FF" w:rsidRDefault="004504EA" w:rsidP="004504EA">
      <w:pPr>
        <w:pStyle w:val="Heading2"/>
        <w:spacing w:before="240" w:after="240"/>
        <w:jc w:val="left"/>
        <w:rPr>
          <w:rFonts w:cs="Arial"/>
          <w:sz w:val="20"/>
        </w:rPr>
      </w:pPr>
      <w:r w:rsidRPr="00DF11FF">
        <w:rPr>
          <w:rFonts w:cs="Arial"/>
          <w:sz w:val="20"/>
        </w:rPr>
        <w:t xml:space="preserve">Strategic assessment of the Amendment </w:t>
      </w:r>
    </w:p>
    <w:p w:rsidR="004504EA" w:rsidRPr="00DF11FF" w:rsidRDefault="004504EA" w:rsidP="004504EA">
      <w:pPr>
        <w:pStyle w:val="Heading2"/>
        <w:spacing w:before="240" w:after="240"/>
        <w:jc w:val="left"/>
        <w:rPr>
          <w:rFonts w:cs="Arial"/>
          <w:sz w:val="20"/>
        </w:rPr>
      </w:pPr>
      <w:r w:rsidRPr="00DF11FF">
        <w:rPr>
          <w:rFonts w:cs="Arial"/>
          <w:sz w:val="20"/>
        </w:rPr>
        <w:t>Why is the Amendment required?</w:t>
      </w:r>
    </w:p>
    <w:p w:rsidR="004504EA" w:rsidRPr="00DF11FF" w:rsidRDefault="004504EA" w:rsidP="004504EA">
      <w:pPr>
        <w:jc w:val="left"/>
        <w:rPr>
          <w:rFonts w:ascii="Arial" w:hAnsi="Arial" w:cs="Arial"/>
          <w:sz w:val="20"/>
        </w:rPr>
      </w:pPr>
      <w:r w:rsidRPr="00DF11FF">
        <w:rPr>
          <w:rFonts w:ascii="Arial" w:hAnsi="Arial" w:cs="Arial"/>
          <w:sz w:val="20"/>
        </w:rPr>
        <w:t xml:space="preserve">This Amendment is required in order to rezone the land to a more appropriate zone to allow residential development to occur on the site. </w:t>
      </w:r>
      <w:r w:rsidR="00C812C6">
        <w:rPr>
          <w:rFonts w:ascii="Arial" w:hAnsi="Arial" w:cs="Arial"/>
          <w:sz w:val="20"/>
        </w:rPr>
        <w:t xml:space="preserve">Residential development is prohibited in </w:t>
      </w:r>
      <w:r w:rsidRPr="00DF11FF">
        <w:rPr>
          <w:rFonts w:ascii="Arial" w:hAnsi="Arial" w:cs="Arial"/>
          <w:sz w:val="20"/>
        </w:rPr>
        <w:t>the Industrial 1 Zone. The rezoning of the land to the</w:t>
      </w:r>
      <w:r w:rsidR="00B17682" w:rsidRPr="00DF11FF">
        <w:rPr>
          <w:rFonts w:ascii="Arial" w:hAnsi="Arial" w:cs="Arial"/>
          <w:sz w:val="20"/>
        </w:rPr>
        <w:t xml:space="preserve"> </w:t>
      </w:r>
      <w:r w:rsidRPr="00DF11FF">
        <w:rPr>
          <w:rFonts w:ascii="Arial" w:hAnsi="Arial" w:cs="Arial"/>
          <w:sz w:val="20"/>
        </w:rPr>
        <w:t>R</w:t>
      </w:r>
      <w:r w:rsidR="00B17682" w:rsidRPr="00DF11FF">
        <w:rPr>
          <w:rFonts w:ascii="Arial" w:hAnsi="Arial" w:cs="Arial"/>
          <w:sz w:val="20"/>
        </w:rPr>
        <w:t xml:space="preserve">esidential </w:t>
      </w:r>
      <w:r w:rsidR="00C812C6">
        <w:rPr>
          <w:rFonts w:ascii="Arial" w:hAnsi="Arial" w:cs="Arial"/>
          <w:sz w:val="20"/>
        </w:rPr>
        <w:t xml:space="preserve">Growth </w:t>
      </w:r>
      <w:r w:rsidRPr="00DF11FF">
        <w:rPr>
          <w:rFonts w:ascii="Arial" w:hAnsi="Arial" w:cs="Arial"/>
          <w:sz w:val="20"/>
        </w:rPr>
        <w:t>Z</w:t>
      </w:r>
      <w:r w:rsidR="00B17682" w:rsidRPr="00DF11FF">
        <w:rPr>
          <w:rFonts w:ascii="Arial" w:hAnsi="Arial" w:cs="Arial"/>
          <w:sz w:val="20"/>
        </w:rPr>
        <w:t xml:space="preserve">one </w:t>
      </w:r>
      <w:r w:rsidR="00C812C6">
        <w:rPr>
          <w:rFonts w:ascii="Arial" w:hAnsi="Arial" w:cs="Arial"/>
          <w:sz w:val="20"/>
        </w:rPr>
        <w:t>5</w:t>
      </w:r>
      <w:r w:rsidRPr="00DF11FF">
        <w:rPr>
          <w:rFonts w:ascii="Arial" w:hAnsi="Arial" w:cs="Arial"/>
          <w:sz w:val="20"/>
        </w:rPr>
        <w:t xml:space="preserve"> will allow</w:t>
      </w:r>
      <w:r w:rsidR="00C812C6">
        <w:rPr>
          <w:rFonts w:ascii="Arial" w:hAnsi="Arial" w:cs="Arial"/>
          <w:sz w:val="20"/>
        </w:rPr>
        <w:t xml:space="preserve"> a more intense residential development</w:t>
      </w:r>
      <w:r w:rsidRPr="00DF11FF">
        <w:rPr>
          <w:rFonts w:ascii="Arial" w:hAnsi="Arial" w:cs="Arial"/>
          <w:sz w:val="20"/>
        </w:rPr>
        <w:t xml:space="preserve"> to occur on the land. </w:t>
      </w:r>
    </w:p>
    <w:p w:rsidR="004504EA" w:rsidRPr="00DF11FF" w:rsidRDefault="00657DA0" w:rsidP="004504EA">
      <w:pPr>
        <w:jc w:val="left"/>
        <w:rPr>
          <w:rFonts w:ascii="Arial" w:hAnsi="Arial" w:cs="Arial"/>
          <w:sz w:val="20"/>
        </w:rPr>
      </w:pPr>
      <w:r>
        <w:rPr>
          <w:rFonts w:ascii="Arial" w:hAnsi="Arial" w:cs="Arial"/>
          <w:sz w:val="20"/>
        </w:rPr>
        <w:t>The amendment</w:t>
      </w:r>
      <w:r w:rsidR="004504EA" w:rsidRPr="00DF11FF">
        <w:rPr>
          <w:rFonts w:ascii="Arial" w:hAnsi="Arial" w:cs="Arial"/>
          <w:sz w:val="20"/>
        </w:rPr>
        <w:t xml:space="preserve"> implement</w:t>
      </w:r>
      <w:r>
        <w:rPr>
          <w:rFonts w:ascii="Arial" w:hAnsi="Arial" w:cs="Arial"/>
          <w:sz w:val="20"/>
        </w:rPr>
        <w:t>s one of</w:t>
      </w:r>
      <w:r w:rsidR="004504EA" w:rsidRPr="00DF11FF">
        <w:rPr>
          <w:rFonts w:ascii="Arial" w:hAnsi="Arial" w:cs="Arial"/>
          <w:sz w:val="20"/>
        </w:rPr>
        <w:t xml:space="preserve"> the recommendations of the Monash Industrial Land Use Strategy 2014 (MILUS). MILUS seeks to support sustainable land use outcomes that balance Monash’s role as a regional employment location against the need to facilitate more diverse housing opportunities and the need to create more economic development. </w:t>
      </w:r>
    </w:p>
    <w:p w:rsidR="004504EA" w:rsidRPr="00DF11FF" w:rsidRDefault="004504EA" w:rsidP="004504EA">
      <w:pPr>
        <w:jc w:val="left"/>
        <w:rPr>
          <w:rFonts w:ascii="Arial" w:hAnsi="Arial" w:cs="Arial"/>
          <w:sz w:val="20"/>
        </w:rPr>
      </w:pPr>
      <w:r w:rsidRPr="00DF11FF">
        <w:rPr>
          <w:rFonts w:ascii="Arial" w:hAnsi="Arial" w:cs="Arial"/>
          <w:sz w:val="20"/>
        </w:rPr>
        <w:t>The subject site has been identified as ‘Precinct 17’ under MILUS and has been recommended to be rezoned for residential purp</w:t>
      </w:r>
      <w:r w:rsidR="00B17682" w:rsidRPr="00DF11FF">
        <w:rPr>
          <w:rFonts w:ascii="Arial" w:hAnsi="Arial" w:cs="Arial"/>
          <w:sz w:val="20"/>
        </w:rPr>
        <w:t xml:space="preserve">oses. MILUS recognises that </w:t>
      </w:r>
      <w:r w:rsidRPr="00DF11FF">
        <w:rPr>
          <w:rFonts w:ascii="Arial" w:hAnsi="Arial" w:cs="Arial"/>
          <w:sz w:val="20"/>
        </w:rPr>
        <w:t>Precinct 17 offers the opportunity to act as a catalyst for new housing and recommends that residential uses be facilitated on the site in order to provide consistency with the residential area that surrounds the site. The facilitation of residential uses on this site will enable industrial activity to be consolidated into the nearby core industrial precincts, which will support their revitalisation.</w:t>
      </w:r>
    </w:p>
    <w:p w:rsidR="004504EA" w:rsidRPr="00DF11FF" w:rsidRDefault="004504EA" w:rsidP="004504EA">
      <w:pPr>
        <w:pStyle w:val="Heading2"/>
        <w:spacing w:before="240" w:after="240"/>
        <w:jc w:val="left"/>
        <w:rPr>
          <w:rFonts w:cs="Arial"/>
          <w:sz w:val="20"/>
        </w:rPr>
      </w:pPr>
      <w:r w:rsidRPr="00DF11FF">
        <w:rPr>
          <w:rFonts w:cs="Arial"/>
          <w:sz w:val="20"/>
        </w:rPr>
        <w:t>How does the Amendment implement the objectives of planning in Victoria?</w:t>
      </w:r>
    </w:p>
    <w:p w:rsidR="004504EA" w:rsidRPr="00DF11FF" w:rsidRDefault="004504EA" w:rsidP="004504EA">
      <w:pPr>
        <w:pStyle w:val="Heading2"/>
        <w:spacing w:before="120" w:after="120"/>
        <w:jc w:val="left"/>
        <w:rPr>
          <w:rFonts w:cs="Arial"/>
          <w:b w:val="0"/>
          <w:bCs w:val="0"/>
          <w:sz w:val="20"/>
          <w:lang w:val="en-GB"/>
        </w:rPr>
      </w:pPr>
      <w:r w:rsidRPr="00DF11FF">
        <w:rPr>
          <w:rFonts w:cs="Arial"/>
          <w:b w:val="0"/>
          <w:bCs w:val="0"/>
          <w:sz w:val="20"/>
          <w:lang w:val="en-GB"/>
        </w:rPr>
        <w:lastRenderedPageBreak/>
        <w:t xml:space="preserve">The amendment implements the following objectives of planning in Victoria contained within Section 4 of the Planning &amp; Environment Act 1987: </w:t>
      </w:r>
    </w:p>
    <w:p w:rsidR="004504EA" w:rsidRPr="00DF11FF" w:rsidRDefault="004504EA" w:rsidP="004504EA">
      <w:pPr>
        <w:pStyle w:val="Heading2"/>
        <w:spacing w:before="120" w:after="120"/>
        <w:jc w:val="left"/>
        <w:rPr>
          <w:rFonts w:cs="Arial"/>
          <w:bCs w:val="0"/>
          <w:sz w:val="20"/>
          <w:lang w:val="en-GB"/>
        </w:rPr>
      </w:pPr>
      <w:r w:rsidRPr="00DF11FF">
        <w:rPr>
          <w:rFonts w:cs="Arial"/>
          <w:bCs w:val="0"/>
          <w:sz w:val="20"/>
          <w:lang w:val="en-GB"/>
        </w:rPr>
        <w:t xml:space="preserve">1(a) to provide for the fair, orderly, economic and sustainable use, and development of land; </w:t>
      </w:r>
    </w:p>
    <w:p w:rsidR="004504EA" w:rsidRPr="00DF11FF" w:rsidRDefault="004504EA" w:rsidP="004504EA">
      <w:pPr>
        <w:pStyle w:val="Heading2"/>
        <w:spacing w:before="120" w:after="120"/>
        <w:jc w:val="left"/>
        <w:rPr>
          <w:rFonts w:cs="Arial"/>
          <w:b w:val="0"/>
          <w:bCs w:val="0"/>
          <w:sz w:val="20"/>
          <w:lang w:val="en-GB"/>
        </w:rPr>
      </w:pPr>
      <w:r w:rsidRPr="00DF11FF">
        <w:rPr>
          <w:rFonts w:cs="Arial"/>
          <w:b w:val="0"/>
          <w:bCs w:val="0"/>
          <w:sz w:val="20"/>
          <w:lang w:val="en-GB"/>
        </w:rPr>
        <w:t>The proposed amendment implements the objectives of planning in Victoria in that it will provide for the economic and sustainable use and development of land by rezoning an industrial precinct identified as appropriate for rezoning to a higher-order residential use in order to provide future development of the site in accordance with the planning permit application.</w:t>
      </w:r>
    </w:p>
    <w:p w:rsidR="004504EA" w:rsidRPr="00DF11FF" w:rsidRDefault="004504EA" w:rsidP="004504EA">
      <w:pPr>
        <w:pStyle w:val="Heading2"/>
        <w:spacing w:before="120" w:after="120"/>
        <w:jc w:val="left"/>
        <w:rPr>
          <w:rFonts w:cs="Arial"/>
          <w:bCs w:val="0"/>
          <w:sz w:val="20"/>
          <w:lang w:val="en-GB"/>
        </w:rPr>
      </w:pPr>
      <w:r w:rsidRPr="00DF11FF">
        <w:rPr>
          <w:rFonts w:cs="Arial"/>
          <w:bCs w:val="0"/>
          <w:sz w:val="20"/>
          <w:lang w:val="en-GB"/>
        </w:rPr>
        <w:t>1(c) to secure a pleasant, efficient and safe working, living and recreational environment for all Victorians and visitors to Victoria;</w:t>
      </w:r>
    </w:p>
    <w:p w:rsidR="004504EA" w:rsidRPr="00DF11FF" w:rsidRDefault="004504EA" w:rsidP="004504EA">
      <w:pPr>
        <w:pStyle w:val="Heading2"/>
        <w:spacing w:before="120" w:after="120"/>
        <w:jc w:val="left"/>
        <w:rPr>
          <w:rFonts w:cs="Arial"/>
          <w:b w:val="0"/>
          <w:bCs w:val="0"/>
          <w:sz w:val="20"/>
          <w:lang w:val="en-GB"/>
        </w:rPr>
      </w:pPr>
      <w:r w:rsidRPr="00DF11FF">
        <w:rPr>
          <w:rFonts w:cs="Arial"/>
          <w:b w:val="0"/>
          <w:bCs w:val="0"/>
          <w:sz w:val="20"/>
          <w:lang w:val="en-GB"/>
        </w:rPr>
        <w:t>The amendment will secure a pleasant, efficient and safe working, living and recreational environment</w:t>
      </w:r>
      <w:r w:rsidR="00B17682" w:rsidRPr="00DF11FF">
        <w:rPr>
          <w:rFonts w:cs="Arial"/>
          <w:b w:val="0"/>
          <w:bCs w:val="0"/>
          <w:sz w:val="20"/>
          <w:lang w:val="en-GB"/>
        </w:rPr>
        <w:t xml:space="preserve"> as it will allow a smallish island industrial site surrounded by residential land to be rezoned to a residential zone</w:t>
      </w:r>
      <w:r w:rsidRPr="00DF11FF">
        <w:rPr>
          <w:rFonts w:cs="Arial"/>
          <w:b w:val="0"/>
          <w:bCs w:val="0"/>
          <w:sz w:val="20"/>
          <w:lang w:val="en-GB"/>
        </w:rPr>
        <w:t xml:space="preserve">. </w:t>
      </w:r>
    </w:p>
    <w:p w:rsidR="004504EA" w:rsidRPr="00DF11FF" w:rsidRDefault="004504EA" w:rsidP="004504EA">
      <w:pPr>
        <w:pStyle w:val="Heading2"/>
        <w:spacing w:before="120" w:after="120"/>
        <w:jc w:val="left"/>
        <w:rPr>
          <w:rFonts w:cs="Arial"/>
          <w:bCs w:val="0"/>
          <w:sz w:val="20"/>
          <w:lang w:val="en-GB"/>
        </w:rPr>
      </w:pPr>
      <w:r w:rsidRPr="00DF11FF">
        <w:rPr>
          <w:rFonts w:cs="Arial"/>
          <w:bCs w:val="0"/>
          <w:sz w:val="20"/>
          <w:lang w:val="en-GB"/>
        </w:rPr>
        <w:t>1(d) to ensure that the effects on the environment are considered and provide for explicit consideration of social and economic effects when decisions are made about the use and development of land;</w:t>
      </w:r>
    </w:p>
    <w:p w:rsidR="002D280F" w:rsidRPr="00DF11FF" w:rsidRDefault="002D280F" w:rsidP="004504EA">
      <w:pPr>
        <w:pStyle w:val="Heading2"/>
        <w:spacing w:before="120" w:after="120"/>
        <w:jc w:val="left"/>
        <w:rPr>
          <w:rFonts w:cs="Arial"/>
          <w:b w:val="0"/>
          <w:bCs w:val="0"/>
          <w:sz w:val="20"/>
          <w:lang w:val="en-GB"/>
        </w:rPr>
      </w:pPr>
      <w:r w:rsidRPr="00DF11FF">
        <w:rPr>
          <w:rFonts w:cs="Arial"/>
          <w:b w:val="0"/>
          <w:bCs w:val="0"/>
          <w:sz w:val="20"/>
          <w:lang w:val="en-GB"/>
        </w:rPr>
        <w:t xml:space="preserve">As a former industrial site, an Environmental Audit Overlay is proposed to be applied to the part of the site which is currently in the Industrial 1 Zone, in response to Ministerial Direction Number 1- Potentially Contaminated Land. </w:t>
      </w:r>
    </w:p>
    <w:p w:rsidR="004504EA" w:rsidRPr="00DF11FF" w:rsidRDefault="004504EA" w:rsidP="004504EA">
      <w:pPr>
        <w:pStyle w:val="Heading2"/>
        <w:spacing w:before="240" w:after="240"/>
        <w:jc w:val="left"/>
        <w:rPr>
          <w:rFonts w:cs="Arial"/>
          <w:sz w:val="20"/>
        </w:rPr>
      </w:pPr>
      <w:r w:rsidRPr="00DF11FF">
        <w:rPr>
          <w:rFonts w:cs="Arial"/>
          <w:sz w:val="20"/>
        </w:rPr>
        <w:t>How does the Amendment address any environmental, social and economic effects?</w:t>
      </w:r>
    </w:p>
    <w:p w:rsidR="004504EA" w:rsidRPr="00DF11FF" w:rsidRDefault="004504EA" w:rsidP="004504EA">
      <w:pPr>
        <w:spacing w:before="0"/>
        <w:jc w:val="left"/>
        <w:rPr>
          <w:rFonts w:ascii="Arial" w:hAnsi="Arial" w:cs="Arial"/>
          <w:sz w:val="20"/>
        </w:rPr>
      </w:pPr>
      <w:r w:rsidRPr="00DF11FF">
        <w:rPr>
          <w:rFonts w:ascii="Arial" w:hAnsi="Arial" w:cs="Arial"/>
          <w:sz w:val="20"/>
        </w:rPr>
        <w:t xml:space="preserve">The site largely sits within a residential area and by virtue of the removal of the industrial </w:t>
      </w:r>
      <w:r w:rsidR="00F6639E" w:rsidRPr="00DF11FF">
        <w:rPr>
          <w:rFonts w:ascii="Arial" w:hAnsi="Arial" w:cs="Arial"/>
          <w:sz w:val="20"/>
        </w:rPr>
        <w:t>zoning and by extension future</w:t>
      </w:r>
      <w:r w:rsidRPr="00DF11FF">
        <w:rPr>
          <w:rFonts w:ascii="Arial" w:hAnsi="Arial" w:cs="Arial"/>
          <w:sz w:val="20"/>
        </w:rPr>
        <w:t xml:space="preserve"> on-site</w:t>
      </w:r>
      <w:r w:rsidR="00F6639E" w:rsidRPr="00DF11FF">
        <w:rPr>
          <w:rFonts w:ascii="Arial" w:hAnsi="Arial" w:cs="Arial"/>
          <w:sz w:val="20"/>
        </w:rPr>
        <w:t xml:space="preserve"> residential</w:t>
      </w:r>
      <w:r w:rsidRPr="00DF11FF">
        <w:rPr>
          <w:rFonts w:ascii="Arial" w:hAnsi="Arial" w:cs="Arial"/>
          <w:sz w:val="20"/>
        </w:rPr>
        <w:t xml:space="preserve"> use, the potential negative amenity impacts on the surrounding res</w:t>
      </w:r>
      <w:r w:rsidR="00657DA0">
        <w:rPr>
          <w:rFonts w:ascii="Arial" w:hAnsi="Arial" w:cs="Arial"/>
          <w:sz w:val="20"/>
        </w:rPr>
        <w:t>idential uses will be reduced</w:t>
      </w:r>
      <w:r w:rsidRPr="00DF11FF">
        <w:rPr>
          <w:rFonts w:ascii="Arial" w:hAnsi="Arial" w:cs="Arial"/>
          <w:sz w:val="20"/>
        </w:rPr>
        <w:t>.  It is anticipated therefore that the amendment will have a positive environmental and social effect.</w:t>
      </w:r>
    </w:p>
    <w:p w:rsidR="004504EA" w:rsidRPr="00DF11FF" w:rsidRDefault="004504EA" w:rsidP="004504EA">
      <w:pPr>
        <w:spacing w:before="0"/>
        <w:jc w:val="left"/>
        <w:rPr>
          <w:rFonts w:ascii="Arial" w:hAnsi="Arial" w:cs="Arial"/>
          <w:sz w:val="20"/>
        </w:rPr>
      </w:pPr>
    </w:p>
    <w:p w:rsidR="004504EA" w:rsidRPr="00DF11FF" w:rsidRDefault="005A6B4F" w:rsidP="005A6B4F">
      <w:pPr>
        <w:pStyle w:val="StrategicAssessmentText"/>
        <w:ind w:left="0"/>
        <w:jc w:val="left"/>
        <w:rPr>
          <w:rFonts w:ascii="Arial" w:hAnsi="Arial" w:cs="Arial"/>
          <w:sz w:val="20"/>
        </w:rPr>
      </w:pPr>
      <w:r w:rsidRPr="00DF11FF">
        <w:rPr>
          <w:rFonts w:ascii="Arial" w:hAnsi="Arial" w:cs="Arial"/>
          <w:sz w:val="20"/>
        </w:rPr>
        <w:t xml:space="preserve">As </w:t>
      </w:r>
      <w:r w:rsidR="00F6639E" w:rsidRPr="00DF11FF">
        <w:rPr>
          <w:rFonts w:ascii="Arial" w:hAnsi="Arial" w:cs="Arial"/>
          <w:sz w:val="20"/>
        </w:rPr>
        <w:t>an Environmental Audit Overlay</w:t>
      </w:r>
      <w:r w:rsidRPr="00DF11FF">
        <w:rPr>
          <w:rFonts w:ascii="Arial" w:hAnsi="Arial" w:cs="Arial"/>
          <w:sz w:val="20"/>
        </w:rPr>
        <w:t xml:space="preserve"> is proposed as part of the Amendment</w:t>
      </w:r>
      <w:r w:rsidR="00F6639E" w:rsidRPr="00DF11FF">
        <w:rPr>
          <w:rFonts w:ascii="Arial" w:hAnsi="Arial" w:cs="Arial"/>
          <w:sz w:val="20"/>
        </w:rPr>
        <w:t xml:space="preserve">, this will ensure that any issues related to contaminated land will be appropriately addressed and managed prior to the site being used for a sensitive use such as residential. </w:t>
      </w:r>
    </w:p>
    <w:p w:rsidR="004504EA" w:rsidRPr="00DF11FF" w:rsidRDefault="004504EA" w:rsidP="00657DA0">
      <w:pPr>
        <w:pStyle w:val="StrategicAssessmentText"/>
        <w:ind w:left="0"/>
        <w:jc w:val="left"/>
        <w:rPr>
          <w:rFonts w:ascii="Arial" w:hAnsi="Arial" w:cs="Arial"/>
          <w:sz w:val="20"/>
        </w:rPr>
      </w:pPr>
      <w:r w:rsidRPr="00DF11FF">
        <w:rPr>
          <w:rFonts w:ascii="Arial" w:hAnsi="Arial" w:cs="Arial"/>
          <w:sz w:val="20"/>
        </w:rPr>
        <w:t>In respect to economi</w:t>
      </w:r>
      <w:r w:rsidR="00657DA0">
        <w:rPr>
          <w:rFonts w:ascii="Arial" w:hAnsi="Arial" w:cs="Arial"/>
          <w:sz w:val="20"/>
        </w:rPr>
        <w:t>c effects, MILUS</w:t>
      </w:r>
      <w:r w:rsidRPr="00DF11FF">
        <w:rPr>
          <w:rFonts w:ascii="Arial" w:hAnsi="Arial" w:cs="Arial"/>
          <w:sz w:val="20"/>
        </w:rPr>
        <w:t xml:space="preserve"> assessed the industrial precincts within Monash with respect to their potential to accommodate future industrial activity, either in their current form or through the re</w:t>
      </w:r>
      <w:r w:rsidR="00657DA0">
        <w:rPr>
          <w:rFonts w:ascii="Arial" w:hAnsi="Arial" w:cs="Arial"/>
          <w:sz w:val="20"/>
        </w:rPr>
        <w:t>development of particular sites</w:t>
      </w:r>
      <w:r w:rsidRPr="00DF11FF">
        <w:rPr>
          <w:rFonts w:ascii="Arial" w:hAnsi="Arial" w:cs="Arial"/>
          <w:sz w:val="20"/>
        </w:rPr>
        <w:t xml:space="preserve">. </w:t>
      </w:r>
      <w:r w:rsidR="004E2C64">
        <w:rPr>
          <w:rFonts w:ascii="Arial" w:hAnsi="Arial" w:cs="Arial"/>
          <w:sz w:val="20"/>
        </w:rPr>
        <w:t>Rezoning the</w:t>
      </w:r>
      <w:r w:rsidR="00657DA0">
        <w:rPr>
          <w:rFonts w:ascii="Arial" w:hAnsi="Arial" w:cs="Arial"/>
          <w:sz w:val="20"/>
        </w:rPr>
        <w:t xml:space="preserve"> site will play a role in </w:t>
      </w:r>
      <w:r w:rsidRPr="00DF11FF">
        <w:rPr>
          <w:rFonts w:ascii="Arial" w:hAnsi="Arial" w:cs="Arial"/>
          <w:sz w:val="20"/>
        </w:rPr>
        <w:t>achieving broader strategic objectives</w:t>
      </w:r>
      <w:r w:rsidR="00657DA0">
        <w:rPr>
          <w:rFonts w:ascii="Arial" w:hAnsi="Arial" w:cs="Arial"/>
          <w:sz w:val="20"/>
        </w:rPr>
        <w:t>,</w:t>
      </w:r>
      <w:r w:rsidRPr="00DF11FF">
        <w:rPr>
          <w:rFonts w:ascii="Arial" w:hAnsi="Arial" w:cs="Arial"/>
          <w:sz w:val="20"/>
        </w:rPr>
        <w:t xml:space="preserve"> such as facilitating an increased supply of housing or acting as a catalyst for urban renewal within the surrounding area. </w:t>
      </w:r>
    </w:p>
    <w:p w:rsidR="004504EA" w:rsidRPr="00DF11FF" w:rsidRDefault="004504EA" w:rsidP="004504EA">
      <w:pPr>
        <w:pStyle w:val="Heading2"/>
        <w:spacing w:before="240" w:after="240"/>
        <w:jc w:val="left"/>
        <w:rPr>
          <w:rFonts w:cs="Arial"/>
          <w:sz w:val="20"/>
        </w:rPr>
      </w:pPr>
      <w:r w:rsidRPr="00DF11FF">
        <w:rPr>
          <w:rFonts w:cs="Arial"/>
          <w:sz w:val="20"/>
        </w:rPr>
        <w:t>Does the Amendment address relevant bushfire risk?</w:t>
      </w:r>
    </w:p>
    <w:p w:rsidR="004504EA" w:rsidRPr="00DF11FF" w:rsidRDefault="004504EA" w:rsidP="004504EA">
      <w:pPr>
        <w:pStyle w:val="StrategicAssessmentText"/>
        <w:ind w:left="0"/>
        <w:jc w:val="left"/>
        <w:rPr>
          <w:rFonts w:ascii="Arial" w:hAnsi="Arial" w:cs="Arial"/>
          <w:snapToGrid w:val="0"/>
          <w:sz w:val="20"/>
          <w:lang w:eastAsia="en-US"/>
        </w:rPr>
      </w:pPr>
      <w:r w:rsidRPr="00DF11FF">
        <w:rPr>
          <w:rFonts w:ascii="Arial" w:hAnsi="Arial" w:cs="Arial"/>
          <w:snapToGrid w:val="0"/>
          <w:sz w:val="20"/>
          <w:lang w:eastAsia="en-US"/>
        </w:rPr>
        <w:t>This is not applicable to the amendment.</w:t>
      </w:r>
    </w:p>
    <w:p w:rsidR="004504EA" w:rsidRPr="00DF11FF" w:rsidRDefault="004504EA" w:rsidP="004504EA">
      <w:pPr>
        <w:pStyle w:val="Heading2"/>
        <w:spacing w:before="240" w:after="240"/>
        <w:jc w:val="left"/>
        <w:rPr>
          <w:rFonts w:cs="Arial"/>
          <w:sz w:val="20"/>
        </w:rPr>
      </w:pPr>
      <w:r w:rsidRPr="00DF11FF">
        <w:rPr>
          <w:rFonts w:cs="Arial"/>
          <w:sz w:val="20"/>
        </w:rPr>
        <w:t>Does the Amendment comply with the requirements of any Minister’s Direction applicable to the amendment?</w:t>
      </w:r>
    </w:p>
    <w:p w:rsidR="004504EA" w:rsidRPr="00DF11FF" w:rsidRDefault="004504EA" w:rsidP="004504EA">
      <w:pPr>
        <w:pStyle w:val="StrategicAssessmentText"/>
        <w:ind w:left="0"/>
        <w:jc w:val="left"/>
        <w:rPr>
          <w:rFonts w:ascii="Arial" w:hAnsi="Arial" w:cs="Arial"/>
          <w:sz w:val="20"/>
        </w:rPr>
      </w:pPr>
      <w:r w:rsidRPr="00DF11FF">
        <w:rPr>
          <w:rFonts w:ascii="Arial" w:hAnsi="Arial" w:cs="Arial"/>
          <w:sz w:val="20"/>
        </w:rPr>
        <w:t xml:space="preserve">The amendment is consistent with the Ministerial Direction on the Form and Content of Planning Schemes under section 7(5) of the Planning and Environment Act 1987 as required for all Planning Scheme Amendments. </w:t>
      </w:r>
    </w:p>
    <w:p w:rsidR="004504EA" w:rsidRPr="00DF11FF" w:rsidRDefault="004504EA" w:rsidP="004504EA">
      <w:pPr>
        <w:pStyle w:val="StrategicAssessmentText"/>
        <w:ind w:left="0"/>
        <w:jc w:val="left"/>
        <w:rPr>
          <w:rFonts w:ascii="Arial" w:hAnsi="Arial" w:cs="Arial"/>
          <w:sz w:val="20"/>
        </w:rPr>
      </w:pPr>
      <w:r w:rsidRPr="00DF11FF">
        <w:rPr>
          <w:rFonts w:ascii="Arial" w:hAnsi="Arial" w:cs="Arial"/>
          <w:sz w:val="20"/>
        </w:rPr>
        <w:t xml:space="preserve">In addition, in accordance with section 12(2)(a) of the Act, the Minister’s Directions relevant to the amendment are: </w:t>
      </w:r>
    </w:p>
    <w:p w:rsidR="00C329CC" w:rsidRPr="00657DA0" w:rsidRDefault="00C329CC" w:rsidP="00C329CC">
      <w:pPr>
        <w:jc w:val="left"/>
        <w:rPr>
          <w:rFonts w:ascii="Arial" w:hAnsi="Arial" w:cs="Arial"/>
          <w:i/>
          <w:sz w:val="20"/>
        </w:rPr>
      </w:pPr>
      <w:r w:rsidRPr="00657DA0">
        <w:rPr>
          <w:rFonts w:ascii="Arial" w:hAnsi="Arial" w:cs="Arial"/>
          <w:i/>
          <w:sz w:val="20"/>
        </w:rPr>
        <w:t>Ministerial Direction No. 1</w:t>
      </w:r>
    </w:p>
    <w:p w:rsidR="005C1EFC" w:rsidRPr="00657DA0" w:rsidRDefault="005C1EFC" w:rsidP="005C1EFC">
      <w:pPr>
        <w:pStyle w:val="Heading2"/>
        <w:spacing w:before="120" w:after="120"/>
        <w:jc w:val="left"/>
        <w:rPr>
          <w:rFonts w:cs="Arial"/>
          <w:b w:val="0"/>
          <w:bCs w:val="0"/>
          <w:sz w:val="20"/>
          <w:lang w:val="en-GB"/>
        </w:rPr>
      </w:pPr>
      <w:r w:rsidRPr="00657DA0">
        <w:rPr>
          <w:rFonts w:cs="Arial"/>
          <w:b w:val="0"/>
          <w:bCs w:val="0"/>
          <w:sz w:val="20"/>
          <w:lang w:val="en-GB"/>
        </w:rPr>
        <w:t xml:space="preserve">As a former industrial site, an Environmental Audit Overlay is proposed to be applied to the part of the site which is currently in the Industrial 1 Zone, in response to Ministerial Direction Number 1- Potentially Contaminated Land. </w:t>
      </w:r>
    </w:p>
    <w:p w:rsidR="00C329CC" w:rsidRPr="00657DA0" w:rsidRDefault="00C329CC" w:rsidP="00C329CC">
      <w:pPr>
        <w:jc w:val="left"/>
        <w:rPr>
          <w:rFonts w:ascii="Arial" w:hAnsi="Arial" w:cs="Arial"/>
          <w:i/>
          <w:sz w:val="20"/>
        </w:rPr>
      </w:pPr>
      <w:r w:rsidRPr="00657DA0">
        <w:rPr>
          <w:rFonts w:ascii="Arial" w:hAnsi="Arial" w:cs="Arial"/>
          <w:i/>
          <w:sz w:val="20"/>
        </w:rPr>
        <w:t xml:space="preserve">Ministerial Direction No. 9 </w:t>
      </w:r>
    </w:p>
    <w:p w:rsidR="00C329CC" w:rsidRPr="00657DA0" w:rsidRDefault="00C329CC" w:rsidP="00C329CC">
      <w:pPr>
        <w:jc w:val="left"/>
        <w:rPr>
          <w:rFonts w:ascii="Arial" w:hAnsi="Arial" w:cs="Arial"/>
          <w:sz w:val="20"/>
        </w:rPr>
      </w:pPr>
      <w:r w:rsidRPr="00657DA0">
        <w:rPr>
          <w:rFonts w:ascii="Arial" w:hAnsi="Arial" w:cs="Arial"/>
          <w:sz w:val="20"/>
        </w:rPr>
        <w:lastRenderedPageBreak/>
        <w:t>Current Metropolitan Planning Strategy is underpinned by nine principles upon which a series of outcomes, directions and policies are based upon. This amendment will support these principles by:</w:t>
      </w:r>
    </w:p>
    <w:p w:rsidR="00C329CC" w:rsidRPr="00657DA0" w:rsidRDefault="00C329CC" w:rsidP="00C329CC">
      <w:pPr>
        <w:pStyle w:val="ListParagraph"/>
        <w:numPr>
          <w:ilvl w:val="0"/>
          <w:numId w:val="22"/>
        </w:numPr>
        <w:spacing w:before="0" w:after="160" w:line="259" w:lineRule="auto"/>
        <w:jc w:val="left"/>
        <w:rPr>
          <w:rFonts w:ascii="Arial" w:hAnsi="Arial" w:cs="Arial"/>
          <w:sz w:val="20"/>
        </w:rPr>
      </w:pPr>
      <w:r w:rsidRPr="00657DA0">
        <w:rPr>
          <w:rFonts w:ascii="Arial" w:hAnsi="Arial" w:cs="Arial"/>
          <w:sz w:val="20"/>
        </w:rPr>
        <w:t>creating development opportunities at an urban renewal precinct (Direction 1.3);</w:t>
      </w:r>
    </w:p>
    <w:p w:rsidR="00C329CC" w:rsidRPr="00657DA0" w:rsidRDefault="00C329CC" w:rsidP="00C329CC">
      <w:pPr>
        <w:pStyle w:val="ListParagraph"/>
        <w:numPr>
          <w:ilvl w:val="0"/>
          <w:numId w:val="22"/>
        </w:numPr>
        <w:spacing w:before="0" w:after="160" w:line="259" w:lineRule="auto"/>
        <w:jc w:val="left"/>
        <w:rPr>
          <w:rFonts w:ascii="Arial" w:hAnsi="Arial" w:cs="Arial"/>
          <w:sz w:val="20"/>
        </w:rPr>
      </w:pPr>
      <w:r w:rsidRPr="00657DA0">
        <w:rPr>
          <w:rFonts w:ascii="Arial" w:hAnsi="Arial" w:cs="Arial"/>
          <w:sz w:val="20"/>
        </w:rPr>
        <w:t>managing the supply of new housing in an appropriate location to meet population growth and create a sustainable city (Direction 2.1);</w:t>
      </w:r>
    </w:p>
    <w:p w:rsidR="00C329CC" w:rsidRPr="00657DA0" w:rsidRDefault="00C329CC" w:rsidP="00C329CC">
      <w:pPr>
        <w:pStyle w:val="ListParagraph"/>
        <w:numPr>
          <w:ilvl w:val="0"/>
          <w:numId w:val="22"/>
        </w:numPr>
        <w:spacing w:before="0" w:after="160" w:line="259" w:lineRule="auto"/>
        <w:jc w:val="left"/>
        <w:rPr>
          <w:rFonts w:ascii="Arial" w:hAnsi="Arial" w:cs="Arial"/>
          <w:sz w:val="20"/>
        </w:rPr>
      </w:pPr>
      <w:r w:rsidRPr="00657DA0">
        <w:rPr>
          <w:rFonts w:ascii="Arial" w:hAnsi="Arial" w:cs="Arial"/>
          <w:sz w:val="20"/>
        </w:rPr>
        <w:t>providing greater choice and diversity of housing (Direction 2.5);</w:t>
      </w:r>
    </w:p>
    <w:p w:rsidR="00C329CC" w:rsidRPr="00657DA0" w:rsidRDefault="00C329CC" w:rsidP="00C329CC">
      <w:pPr>
        <w:pStyle w:val="ListParagraph"/>
        <w:numPr>
          <w:ilvl w:val="0"/>
          <w:numId w:val="22"/>
        </w:numPr>
        <w:spacing w:before="0" w:after="160" w:line="259" w:lineRule="auto"/>
        <w:jc w:val="left"/>
        <w:rPr>
          <w:rFonts w:ascii="Arial" w:hAnsi="Arial" w:cs="Arial"/>
          <w:sz w:val="20"/>
        </w:rPr>
      </w:pPr>
      <w:r w:rsidRPr="00657DA0">
        <w:rPr>
          <w:rFonts w:ascii="Arial" w:hAnsi="Arial" w:cs="Arial"/>
          <w:sz w:val="20"/>
        </w:rPr>
        <w:t>creating neighbourhoods that support safer communities and healthy lifestyles (Direction 5.2);</w:t>
      </w:r>
    </w:p>
    <w:p w:rsidR="004504EA" w:rsidRPr="00DF11FF" w:rsidRDefault="004504EA" w:rsidP="004504EA">
      <w:pPr>
        <w:pStyle w:val="Heading2"/>
        <w:spacing w:before="240" w:after="240"/>
        <w:jc w:val="left"/>
        <w:rPr>
          <w:rFonts w:cs="Arial"/>
          <w:sz w:val="20"/>
        </w:rPr>
      </w:pPr>
      <w:r w:rsidRPr="00DF11FF">
        <w:rPr>
          <w:rFonts w:cs="Arial"/>
          <w:sz w:val="20"/>
        </w:rPr>
        <w:t>How does the Amendment support or implement the State Planning Policy Framework and any adopted State policy?</w:t>
      </w:r>
    </w:p>
    <w:p w:rsidR="004504EA" w:rsidRPr="00DF11FF" w:rsidRDefault="004504EA" w:rsidP="004504EA">
      <w:pPr>
        <w:pStyle w:val="StrategicAssessmentText"/>
        <w:ind w:left="0"/>
        <w:jc w:val="left"/>
        <w:rPr>
          <w:rFonts w:ascii="Arial" w:hAnsi="Arial" w:cs="Arial"/>
          <w:sz w:val="20"/>
        </w:rPr>
      </w:pPr>
      <w:r w:rsidRPr="00DF11FF">
        <w:rPr>
          <w:rFonts w:ascii="Arial" w:hAnsi="Arial" w:cs="Arial"/>
          <w:sz w:val="20"/>
        </w:rPr>
        <w:t>The amendment supports and seeks to implement the State Planning Policy Framework, particularly having regard to:</w:t>
      </w:r>
    </w:p>
    <w:p w:rsidR="004504EA" w:rsidRPr="00DF11FF" w:rsidRDefault="004504EA" w:rsidP="004504EA">
      <w:pPr>
        <w:pStyle w:val="ListParagraph"/>
        <w:numPr>
          <w:ilvl w:val="0"/>
          <w:numId w:val="4"/>
        </w:numPr>
        <w:spacing w:after="120"/>
        <w:jc w:val="left"/>
        <w:rPr>
          <w:rFonts w:ascii="Arial" w:hAnsi="Arial" w:cs="Arial"/>
          <w:sz w:val="20"/>
        </w:rPr>
      </w:pPr>
      <w:r w:rsidRPr="00DF11FF">
        <w:rPr>
          <w:rFonts w:ascii="Arial" w:hAnsi="Arial" w:cs="Arial"/>
          <w:sz w:val="20"/>
        </w:rPr>
        <w:t>Clause 11.02-1 Supply of Urban Land by ensuring a sufficient supply of land is available for residential, commercial, retail, industrial, recreational, institutional and other community uses.</w:t>
      </w:r>
    </w:p>
    <w:p w:rsidR="004504EA" w:rsidRPr="00DF11FF" w:rsidRDefault="004504EA" w:rsidP="004504EA">
      <w:pPr>
        <w:pStyle w:val="ListParagraph"/>
        <w:numPr>
          <w:ilvl w:val="0"/>
          <w:numId w:val="4"/>
        </w:numPr>
        <w:spacing w:after="120"/>
        <w:jc w:val="left"/>
        <w:rPr>
          <w:rFonts w:ascii="Arial" w:hAnsi="Arial" w:cs="Arial"/>
          <w:sz w:val="20"/>
        </w:rPr>
      </w:pPr>
      <w:r w:rsidRPr="00DF11FF">
        <w:rPr>
          <w:rFonts w:ascii="Arial" w:hAnsi="Arial" w:cs="Arial"/>
          <w:sz w:val="20"/>
        </w:rPr>
        <w:t>Clause 13.03-1 Use of Contaminated and Potentially Contaminated Land by ensuring that the potentially contaminated land has been assessed for its intended use and development and is safely used.</w:t>
      </w:r>
    </w:p>
    <w:p w:rsidR="004504EA" w:rsidRPr="00DF11FF" w:rsidRDefault="004504EA" w:rsidP="004504EA">
      <w:pPr>
        <w:pStyle w:val="ListParagraph"/>
        <w:numPr>
          <w:ilvl w:val="0"/>
          <w:numId w:val="4"/>
        </w:numPr>
        <w:spacing w:after="120"/>
        <w:jc w:val="left"/>
        <w:rPr>
          <w:rFonts w:ascii="Arial" w:hAnsi="Arial" w:cs="Arial"/>
          <w:sz w:val="20"/>
        </w:rPr>
      </w:pPr>
      <w:r w:rsidRPr="00DF11FF">
        <w:rPr>
          <w:rFonts w:ascii="Arial" w:hAnsi="Arial" w:cs="Arial"/>
          <w:sz w:val="20"/>
        </w:rPr>
        <w:t>Clause 16.01-2 Location of Residential Development by ensuring an adequate supply of redevelopment opportunities within the established urban area to reduce the pressure for fringe development.</w:t>
      </w:r>
    </w:p>
    <w:p w:rsidR="004504EA" w:rsidRPr="00DF11FF" w:rsidRDefault="004504EA" w:rsidP="004504EA">
      <w:pPr>
        <w:pStyle w:val="ListParagraph"/>
        <w:numPr>
          <w:ilvl w:val="0"/>
          <w:numId w:val="4"/>
        </w:numPr>
        <w:spacing w:after="120"/>
        <w:jc w:val="left"/>
        <w:rPr>
          <w:rFonts w:ascii="Arial" w:hAnsi="Arial" w:cs="Arial"/>
          <w:sz w:val="20"/>
        </w:rPr>
      </w:pPr>
      <w:r w:rsidRPr="00DF11FF">
        <w:rPr>
          <w:rFonts w:ascii="Arial" w:hAnsi="Arial" w:cs="Arial"/>
          <w:sz w:val="20"/>
        </w:rPr>
        <w:t xml:space="preserve">Clause 16.01-3 Housing Opportunity Areas by identifying this site as being one that offers opportunities for higher density housing to be provided due to its location near employment and transport. </w:t>
      </w:r>
    </w:p>
    <w:p w:rsidR="004504EA" w:rsidRPr="00DF11FF" w:rsidRDefault="004504EA" w:rsidP="004504EA">
      <w:pPr>
        <w:pStyle w:val="ListParagraph"/>
        <w:numPr>
          <w:ilvl w:val="0"/>
          <w:numId w:val="4"/>
        </w:numPr>
        <w:spacing w:after="120"/>
        <w:jc w:val="left"/>
        <w:rPr>
          <w:rFonts w:ascii="Arial" w:hAnsi="Arial" w:cs="Arial"/>
          <w:sz w:val="20"/>
        </w:rPr>
      </w:pPr>
      <w:r w:rsidRPr="00DF11FF">
        <w:rPr>
          <w:rFonts w:ascii="Arial" w:hAnsi="Arial" w:cs="Arial"/>
          <w:sz w:val="20"/>
        </w:rPr>
        <w:t xml:space="preserve">Clause 17.02 Industrial Land Development by ensuring that industrial uses are clustered in more appropriate locations within the Monash National </w:t>
      </w:r>
      <w:r w:rsidR="005C1EFC" w:rsidRPr="00DF11FF">
        <w:rPr>
          <w:rFonts w:ascii="Arial" w:hAnsi="Arial" w:cs="Arial"/>
          <w:sz w:val="20"/>
        </w:rPr>
        <w:t xml:space="preserve">and Innovation </w:t>
      </w:r>
      <w:r w:rsidRPr="00DF11FF">
        <w:rPr>
          <w:rFonts w:ascii="Arial" w:hAnsi="Arial" w:cs="Arial"/>
          <w:sz w:val="20"/>
        </w:rPr>
        <w:t>Employment Cluster.</w:t>
      </w:r>
    </w:p>
    <w:p w:rsidR="004504EA" w:rsidRPr="00DF11FF" w:rsidRDefault="004504EA" w:rsidP="004504EA">
      <w:pPr>
        <w:pStyle w:val="Heading2"/>
        <w:spacing w:before="240" w:after="240"/>
        <w:jc w:val="left"/>
        <w:rPr>
          <w:rFonts w:cs="Arial"/>
          <w:sz w:val="20"/>
        </w:rPr>
      </w:pPr>
      <w:r w:rsidRPr="00DF11FF">
        <w:rPr>
          <w:rFonts w:cs="Arial"/>
          <w:sz w:val="20"/>
        </w:rPr>
        <w:t>How does the Amendment support or implement the Local Planning Policy Framework, and specifically the Municipal Strategic Statement?</w:t>
      </w:r>
    </w:p>
    <w:p w:rsidR="00C12C8B" w:rsidRPr="00657DA0" w:rsidRDefault="00C12C8B" w:rsidP="00C12C8B">
      <w:pPr>
        <w:spacing w:after="120"/>
        <w:rPr>
          <w:rFonts w:ascii="Arial" w:hAnsi="Arial" w:cs="Arial"/>
          <w:sz w:val="20"/>
        </w:rPr>
      </w:pPr>
      <w:r w:rsidRPr="00657DA0">
        <w:rPr>
          <w:rFonts w:ascii="Arial" w:hAnsi="Arial" w:cs="Arial"/>
          <w:sz w:val="20"/>
        </w:rPr>
        <w:t>The proposed amendment will directly support many of the objectives, strategies and other policy points contained within the LPPF (and specifically the MSS), particularly the following:</w:t>
      </w:r>
    </w:p>
    <w:p w:rsidR="00C12C8B" w:rsidRPr="00657DA0" w:rsidRDefault="00C12C8B" w:rsidP="0000093C">
      <w:pPr>
        <w:pStyle w:val="ListParagraph"/>
        <w:numPr>
          <w:ilvl w:val="0"/>
          <w:numId w:val="23"/>
        </w:numPr>
        <w:spacing w:after="120" w:line="259" w:lineRule="auto"/>
        <w:contextualSpacing w:val="0"/>
        <w:jc w:val="left"/>
        <w:rPr>
          <w:rFonts w:ascii="Arial" w:hAnsi="Arial" w:cs="Arial"/>
          <w:sz w:val="20"/>
        </w:rPr>
      </w:pPr>
      <w:r w:rsidRPr="00657DA0">
        <w:rPr>
          <w:rFonts w:ascii="Arial" w:hAnsi="Arial" w:cs="Arial"/>
          <w:sz w:val="20"/>
        </w:rPr>
        <w:t xml:space="preserve">Clause 21.01 (Municipal Profile) – This clause recognises that the municipality is in Melbourne’s fastest growing population corridor and that the municipality itself is one of Melbourne’s most populous. Whilst this is the case, the population of the municipality is only predicted to increase marginally with the biggest demographic change being instead a shift in the population demographic in favour of older residents and smaller family sizes, partly because of a rapid increase in housing prices. </w:t>
      </w:r>
    </w:p>
    <w:p w:rsidR="00C12C8B" w:rsidRPr="00657DA0" w:rsidRDefault="00C12C8B" w:rsidP="0000093C">
      <w:pPr>
        <w:pStyle w:val="ListParagraph"/>
        <w:numPr>
          <w:ilvl w:val="0"/>
          <w:numId w:val="23"/>
        </w:numPr>
        <w:spacing w:after="120" w:line="259" w:lineRule="auto"/>
        <w:contextualSpacing w:val="0"/>
        <w:jc w:val="left"/>
        <w:rPr>
          <w:rFonts w:ascii="Arial" w:hAnsi="Arial" w:cs="Arial"/>
          <w:sz w:val="20"/>
        </w:rPr>
      </w:pPr>
      <w:r w:rsidRPr="00657DA0">
        <w:rPr>
          <w:rFonts w:ascii="Arial" w:hAnsi="Arial" w:cs="Arial"/>
          <w:sz w:val="20"/>
        </w:rPr>
        <w:t>Clause 21.04 (Residential Development) –This amendment responds to these issues by proposing increased housing density through the application of the</w:t>
      </w:r>
      <w:r w:rsidR="004E2C64">
        <w:rPr>
          <w:rFonts w:ascii="Arial" w:hAnsi="Arial" w:cs="Arial"/>
          <w:sz w:val="20"/>
        </w:rPr>
        <w:t xml:space="preserve"> Residential Growth Zone 5</w:t>
      </w:r>
      <w:r w:rsidRPr="00657DA0">
        <w:rPr>
          <w:rFonts w:ascii="Arial" w:hAnsi="Arial" w:cs="Arial"/>
          <w:sz w:val="20"/>
        </w:rPr>
        <w:t xml:space="preserve">. The application of this zone will ensure </w:t>
      </w:r>
      <w:r w:rsidR="00786875">
        <w:rPr>
          <w:rFonts w:ascii="Arial" w:hAnsi="Arial" w:cs="Arial"/>
          <w:sz w:val="20"/>
        </w:rPr>
        <w:t xml:space="preserve">higher </w:t>
      </w:r>
      <w:r w:rsidRPr="00657DA0">
        <w:rPr>
          <w:rFonts w:ascii="Arial" w:hAnsi="Arial" w:cs="Arial"/>
          <w:sz w:val="20"/>
        </w:rPr>
        <w:t xml:space="preserve">density </w:t>
      </w:r>
      <w:r w:rsidR="00786875">
        <w:rPr>
          <w:rFonts w:ascii="Arial" w:hAnsi="Arial" w:cs="Arial"/>
          <w:sz w:val="20"/>
        </w:rPr>
        <w:t xml:space="preserve">housing </w:t>
      </w:r>
      <w:r w:rsidRPr="00657DA0">
        <w:rPr>
          <w:rFonts w:ascii="Arial" w:hAnsi="Arial" w:cs="Arial"/>
          <w:sz w:val="20"/>
        </w:rPr>
        <w:t>can be supported on the site in a manner that provides for a diversity of housing that complements the surrounding neighbourhood character.</w:t>
      </w:r>
    </w:p>
    <w:p w:rsidR="004504EA" w:rsidRPr="00DF11FF" w:rsidRDefault="004504EA" w:rsidP="004504EA">
      <w:pPr>
        <w:pStyle w:val="Heading2"/>
        <w:spacing w:before="240" w:after="240"/>
        <w:jc w:val="left"/>
        <w:rPr>
          <w:rFonts w:cs="Arial"/>
          <w:sz w:val="20"/>
        </w:rPr>
      </w:pPr>
      <w:r w:rsidRPr="00657DA0">
        <w:rPr>
          <w:rFonts w:cs="Arial"/>
          <w:sz w:val="20"/>
        </w:rPr>
        <w:t>Does the Amendment make proper use of the Victoria Planning Provisi</w:t>
      </w:r>
      <w:r w:rsidRPr="00DF11FF">
        <w:rPr>
          <w:rFonts w:cs="Arial"/>
          <w:sz w:val="20"/>
        </w:rPr>
        <w:t>ons?</w:t>
      </w:r>
    </w:p>
    <w:p w:rsidR="004504EA" w:rsidRPr="00DF11FF" w:rsidRDefault="004504EA" w:rsidP="004504EA">
      <w:pPr>
        <w:jc w:val="left"/>
        <w:rPr>
          <w:rFonts w:ascii="Arial" w:hAnsi="Arial" w:cs="Arial"/>
          <w:sz w:val="20"/>
        </w:rPr>
      </w:pPr>
      <w:r w:rsidRPr="00DF11FF">
        <w:rPr>
          <w:rFonts w:ascii="Arial" w:hAnsi="Arial" w:cs="Arial"/>
          <w:sz w:val="20"/>
        </w:rPr>
        <w:t xml:space="preserve">The amendment utilises policy and controls that form part of the VPPs.  The use of the </w:t>
      </w:r>
      <w:r w:rsidR="00786875">
        <w:rPr>
          <w:rFonts w:ascii="Arial" w:hAnsi="Arial" w:cs="Arial"/>
          <w:sz w:val="20"/>
        </w:rPr>
        <w:t xml:space="preserve">Residential Growth </w:t>
      </w:r>
      <w:r w:rsidRPr="00DF11FF">
        <w:rPr>
          <w:rFonts w:ascii="Arial" w:hAnsi="Arial" w:cs="Arial"/>
          <w:sz w:val="20"/>
        </w:rPr>
        <w:t xml:space="preserve">Zone </w:t>
      </w:r>
      <w:r w:rsidR="00786875">
        <w:rPr>
          <w:rFonts w:ascii="Arial" w:hAnsi="Arial" w:cs="Arial"/>
          <w:sz w:val="20"/>
        </w:rPr>
        <w:t>5</w:t>
      </w:r>
      <w:r w:rsidR="005C1EFC" w:rsidRPr="00DF11FF">
        <w:rPr>
          <w:rFonts w:ascii="Arial" w:hAnsi="Arial" w:cs="Arial"/>
          <w:sz w:val="20"/>
        </w:rPr>
        <w:t xml:space="preserve"> and the </w:t>
      </w:r>
      <w:r w:rsidR="00786875">
        <w:rPr>
          <w:rFonts w:ascii="Arial" w:hAnsi="Arial" w:cs="Arial"/>
          <w:sz w:val="20"/>
        </w:rPr>
        <w:t xml:space="preserve">application of the </w:t>
      </w:r>
      <w:r w:rsidR="005C1EFC" w:rsidRPr="00DF11FF">
        <w:rPr>
          <w:rFonts w:ascii="Arial" w:hAnsi="Arial" w:cs="Arial"/>
          <w:sz w:val="20"/>
        </w:rPr>
        <w:t xml:space="preserve">Environmental Audit Overlay are </w:t>
      </w:r>
      <w:r w:rsidRPr="00DF11FF">
        <w:rPr>
          <w:rFonts w:ascii="Arial" w:hAnsi="Arial" w:cs="Arial"/>
          <w:sz w:val="20"/>
        </w:rPr>
        <w:t>the most appropriate tool</w:t>
      </w:r>
      <w:r w:rsidR="005C1EFC" w:rsidRPr="00DF11FF">
        <w:rPr>
          <w:rFonts w:ascii="Arial" w:hAnsi="Arial" w:cs="Arial"/>
          <w:sz w:val="20"/>
        </w:rPr>
        <w:t>s to achieve the intent</w:t>
      </w:r>
      <w:r w:rsidR="00786875">
        <w:rPr>
          <w:rFonts w:ascii="Arial" w:hAnsi="Arial" w:cs="Arial"/>
          <w:sz w:val="20"/>
        </w:rPr>
        <w:t xml:space="preserve"> of the A</w:t>
      </w:r>
      <w:r w:rsidRPr="00DF11FF">
        <w:rPr>
          <w:rFonts w:ascii="Arial" w:hAnsi="Arial" w:cs="Arial"/>
          <w:sz w:val="20"/>
        </w:rPr>
        <w:t>mendment.</w:t>
      </w:r>
    </w:p>
    <w:p w:rsidR="004504EA" w:rsidRPr="00DF11FF" w:rsidRDefault="004504EA" w:rsidP="004504EA">
      <w:pPr>
        <w:pStyle w:val="Heading2"/>
        <w:spacing w:before="240" w:after="240"/>
        <w:jc w:val="left"/>
        <w:rPr>
          <w:rFonts w:cs="Arial"/>
          <w:sz w:val="20"/>
        </w:rPr>
      </w:pPr>
      <w:r w:rsidRPr="00DF11FF">
        <w:rPr>
          <w:rFonts w:cs="Arial"/>
          <w:sz w:val="20"/>
        </w:rPr>
        <w:t>How does the Amendment address the views of any relevant agency?</w:t>
      </w:r>
    </w:p>
    <w:p w:rsidR="004504EA" w:rsidRPr="00DF11FF" w:rsidRDefault="00C4781F" w:rsidP="004504EA">
      <w:pPr>
        <w:jc w:val="left"/>
        <w:rPr>
          <w:rFonts w:ascii="Arial" w:hAnsi="Arial" w:cs="Arial"/>
          <w:sz w:val="20"/>
        </w:rPr>
      </w:pPr>
      <w:r w:rsidRPr="00DF11FF">
        <w:rPr>
          <w:rFonts w:ascii="Arial" w:hAnsi="Arial" w:cs="Arial"/>
          <w:sz w:val="20"/>
        </w:rPr>
        <w:t xml:space="preserve">The views of </w:t>
      </w:r>
      <w:r w:rsidR="00786875">
        <w:rPr>
          <w:rFonts w:ascii="Arial" w:hAnsi="Arial" w:cs="Arial"/>
          <w:sz w:val="20"/>
        </w:rPr>
        <w:t xml:space="preserve">any relevant agency will be sought during the exhibition of the Amendment. </w:t>
      </w:r>
    </w:p>
    <w:p w:rsidR="004504EA" w:rsidRPr="00DF11FF" w:rsidRDefault="004504EA" w:rsidP="004504EA">
      <w:pPr>
        <w:pStyle w:val="Heading2"/>
        <w:spacing w:before="240" w:after="240"/>
        <w:jc w:val="left"/>
        <w:rPr>
          <w:rFonts w:cs="Arial"/>
          <w:sz w:val="20"/>
        </w:rPr>
      </w:pPr>
      <w:r w:rsidRPr="00DF11FF">
        <w:rPr>
          <w:rFonts w:cs="Arial"/>
          <w:sz w:val="20"/>
        </w:rPr>
        <w:lastRenderedPageBreak/>
        <w:t>Does the Amendment address relevant requirements of the Transport Integration Act 2010?</w:t>
      </w:r>
    </w:p>
    <w:p w:rsidR="004504EA" w:rsidRPr="00DF11FF" w:rsidRDefault="004504EA" w:rsidP="004504EA">
      <w:pPr>
        <w:jc w:val="left"/>
        <w:rPr>
          <w:rFonts w:ascii="Arial" w:hAnsi="Arial" w:cs="Arial"/>
          <w:sz w:val="20"/>
        </w:rPr>
      </w:pPr>
      <w:r w:rsidRPr="00DF11FF">
        <w:rPr>
          <w:rFonts w:ascii="Arial" w:hAnsi="Arial" w:cs="Arial"/>
          <w:sz w:val="20"/>
        </w:rPr>
        <w:t>This amendment will not have any significant impact on the objectives and decision making principles set out in the Transport Integration Act 2010.</w:t>
      </w:r>
    </w:p>
    <w:p w:rsidR="004504EA" w:rsidRPr="00DF11FF" w:rsidRDefault="004504EA" w:rsidP="004504EA">
      <w:pPr>
        <w:pStyle w:val="Heading2"/>
        <w:spacing w:before="240" w:after="240"/>
        <w:jc w:val="left"/>
        <w:rPr>
          <w:rFonts w:cs="Arial"/>
          <w:sz w:val="20"/>
        </w:rPr>
      </w:pPr>
      <w:r w:rsidRPr="00DF11FF">
        <w:rPr>
          <w:rFonts w:cs="Arial"/>
          <w:sz w:val="20"/>
        </w:rPr>
        <w:t>Resource and administrative costs</w:t>
      </w:r>
    </w:p>
    <w:p w:rsidR="004504EA" w:rsidRPr="00DF11FF" w:rsidRDefault="004504EA" w:rsidP="004504EA">
      <w:pPr>
        <w:pStyle w:val="Heading3"/>
        <w:jc w:val="left"/>
        <w:rPr>
          <w:rFonts w:ascii="Arial" w:hAnsi="Arial" w:cs="Arial"/>
          <w:sz w:val="20"/>
        </w:rPr>
      </w:pPr>
      <w:r w:rsidRPr="00DF11FF">
        <w:rPr>
          <w:rFonts w:ascii="Arial" w:hAnsi="Arial" w:cs="Arial"/>
          <w:sz w:val="20"/>
        </w:rPr>
        <w:t>What impact will the new planning provisions have on the resource and administrative costs of the responsible authority?</w:t>
      </w:r>
    </w:p>
    <w:p w:rsidR="00657DA0" w:rsidRDefault="004504EA" w:rsidP="00657DA0">
      <w:pPr>
        <w:jc w:val="left"/>
        <w:rPr>
          <w:rFonts w:ascii="Arial" w:hAnsi="Arial" w:cs="Arial"/>
          <w:sz w:val="20"/>
        </w:rPr>
      </w:pPr>
      <w:r w:rsidRPr="00DF11FF">
        <w:rPr>
          <w:rFonts w:ascii="Arial" w:hAnsi="Arial" w:cs="Arial"/>
          <w:sz w:val="20"/>
        </w:rPr>
        <w:t>The amendment will not have a significant administrative impact on Counci</w:t>
      </w:r>
      <w:r w:rsidR="00657DA0">
        <w:rPr>
          <w:rFonts w:ascii="Arial" w:hAnsi="Arial" w:cs="Arial"/>
          <w:sz w:val="20"/>
        </w:rPr>
        <w:t>l</w:t>
      </w:r>
    </w:p>
    <w:p w:rsidR="00657DA0" w:rsidRDefault="00657DA0" w:rsidP="00657DA0">
      <w:pPr>
        <w:jc w:val="left"/>
        <w:rPr>
          <w:rFonts w:ascii="Arial" w:hAnsi="Arial" w:cs="Arial"/>
          <w:sz w:val="20"/>
        </w:rPr>
      </w:pPr>
    </w:p>
    <w:p w:rsidR="004504EA" w:rsidRPr="00657DA0" w:rsidRDefault="004504EA" w:rsidP="00657DA0">
      <w:pPr>
        <w:pStyle w:val="Heading2"/>
        <w:spacing w:before="240" w:after="240"/>
        <w:jc w:val="left"/>
        <w:rPr>
          <w:rFonts w:cs="Arial"/>
          <w:sz w:val="20"/>
        </w:rPr>
      </w:pPr>
      <w:r w:rsidRPr="00DF11FF">
        <w:rPr>
          <w:rFonts w:cs="Arial"/>
          <w:sz w:val="20"/>
        </w:rPr>
        <w:t>Where you may inspect this Amendment</w:t>
      </w:r>
    </w:p>
    <w:p w:rsidR="004504EA" w:rsidRPr="00657DA0" w:rsidRDefault="004504EA" w:rsidP="004504EA">
      <w:pPr>
        <w:jc w:val="left"/>
        <w:rPr>
          <w:rFonts w:ascii="Arial" w:hAnsi="Arial" w:cs="Arial"/>
          <w:sz w:val="20"/>
        </w:rPr>
      </w:pPr>
      <w:r w:rsidRPr="00657DA0">
        <w:rPr>
          <w:rFonts w:ascii="Arial" w:hAnsi="Arial" w:cs="Arial"/>
          <w:sz w:val="20"/>
        </w:rPr>
        <w:t>The Amendment is available for public inspection, free of charge, during office hours at the following places:</w:t>
      </w:r>
    </w:p>
    <w:p w:rsidR="004504EA" w:rsidRPr="00657DA0" w:rsidRDefault="004504EA" w:rsidP="004504EA">
      <w:pPr>
        <w:jc w:val="left"/>
        <w:rPr>
          <w:rFonts w:ascii="Arial" w:hAnsi="Arial" w:cs="Arial"/>
          <w:sz w:val="20"/>
          <w:lang w:val="en-GB"/>
        </w:rPr>
      </w:pPr>
      <w:r w:rsidRPr="00657DA0">
        <w:rPr>
          <w:rFonts w:ascii="Arial" w:hAnsi="Arial" w:cs="Arial"/>
          <w:sz w:val="20"/>
          <w:lang w:val="en-GB"/>
        </w:rPr>
        <w:t>Monash City Council</w:t>
      </w:r>
    </w:p>
    <w:p w:rsidR="004504EA" w:rsidRPr="00657DA0" w:rsidRDefault="004504EA" w:rsidP="004504EA">
      <w:pPr>
        <w:jc w:val="left"/>
        <w:rPr>
          <w:rFonts w:ascii="Arial" w:hAnsi="Arial" w:cs="Arial"/>
          <w:sz w:val="20"/>
          <w:lang w:val="en-GB"/>
        </w:rPr>
      </w:pPr>
      <w:r w:rsidRPr="00657DA0">
        <w:rPr>
          <w:rFonts w:ascii="Arial" w:hAnsi="Arial" w:cs="Arial"/>
          <w:sz w:val="20"/>
          <w:lang w:val="en-GB"/>
        </w:rPr>
        <w:t xml:space="preserve">293 Springvale Road </w:t>
      </w:r>
    </w:p>
    <w:p w:rsidR="004504EA" w:rsidRPr="00657DA0" w:rsidRDefault="004504EA" w:rsidP="004504EA">
      <w:pPr>
        <w:jc w:val="left"/>
        <w:rPr>
          <w:rFonts w:ascii="Arial" w:hAnsi="Arial" w:cs="Arial"/>
          <w:sz w:val="20"/>
          <w:lang w:val="en-GB"/>
        </w:rPr>
      </w:pPr>
      <w:r w:rsidRPr="00657DA0">
        <w:rPr>
          <w:rFonts w:ascii="Arial" w:hAnsi="Arial" w:cs="Arial"/>
          <w:sz w:val="20"/>
          <w:lang w:val="en-GB"/>
        </w:rPr>
        <w:t>Glen Waverley VIC 3150</w:t>
      </w:r>
    </w:p>
    <w:p w:rsidR="004504EA" w:rsidRPr="00657DA0" w:rsidRDefault="00A64F8D" w:rsidP="004504EA">
      <w:pPr>
        <w:jc w:val="left"/>
        <w:rPr>
          <w:rFonts w:ascii="Arial" w:hAnsi="Arial" w:cs="Arial"/>
          <w:color w:val="A6A6A6"/>
          <w:sz w:val="20"/>
          <w:lang w:val="en-GB"/>
        </w:rPr>
      </w:pPr>
      <w:r w:rsidRPr="00657DA0">
        <w:rPr>
          <w:rFonts w:ascii="Arial" w:hAnsi="Arial" w:cs="Arial"/>
          <w:sz w:val="20"/>
        </w:rPr>
        <w:t xml:space="preserve">Documents are also available on Council’s website: </w:t>
      </w:r>
      <w:hyperlink r:id="rId8" w:history="1">
        <w:r w:rsidR="004504EA" w:rsidRPr="00657DA0">
          <w:rPr>
            <w:rStyle w:val="Hyperlink"/>
            <w:rFonts w:ascii="Arial" w:hAnsi="Arial" w:cs="Arial"/>
            <w:sz w:val="20"/>
            <w:lang w:val="en-GB"/>
          </w:rPr>
          <w:t>www.monash.vic.gov.au</w:t>
        </w:r>
      </w:hyperlink>
    </w:p>
    <w:p w:rsidR="004504EA" w:rsidRPr="00657DA0" w:rsidRDefault="004504EA" w:rsidP="004504EA">
      <w:pPr>
        <w:jc w:val="left"/>
        <w:rPr>
          <w:rFonts w:ascii="Arial" w:hAnsi="Arial" w:cs="Arial"/>
          <w:sz w:val="20"/>
        </w:rPr>
      </w:pPr>
      <w:r w:rsidRPr="00657DA0">
        <w:rPr>
          <w:rFonts w:ascii="Arial" w:hAnsi="Arial" w:cs="Arial"/>
          <w:sz w:val="20"/>
        </w:rPr>
        <w:t>The Amendment can also be inspected free of charge at the Department of Environment, Land, Water and Planning website at</w:t>
      </w:r>
      <w:r w:rsidR="00A64F8D" w:rsidRPr="00657DA0">
        <w:rPr>
          <w:rFonts w:ascii="Arial" w:hAnsi="Arial" w:cs="Arial"/>
          <w:sz w:val="20"/>
        </w:rPr>
        <w:t>:</w:t>
      </w:r>
      <w:r w:rsidRPr="00657DA0">
        <w:rPr>
          <w:rFonts w:ascii="Arial" w:hAnsi="Arial" w:cs="Arial"/>
          <w:sz w:val="20"/>
        </w:rPr>
        <w:t xml:space="preserve">  </w:t>
      </w:r>
      <w:hyperlink r:id="rId9" w:history="1">
        <w:r w:rsidRPr="00657DA0">
          <w:rPr>
            <w:rStyle w:val="Hyperlink"/>
            <w:rFonts w:ascii="Arial" w:hAnsi="Arial" w:cs="Arial"/>
            <w:sz w:val="20"/>
          </w:rPr>
          <w:t>www.delwp.vic.gov.au/public-inspection.</w:t>
        </w:r>
      </w:hyperlink>
    </w:p>
    <w:p w:rsidR="004504EA" w:rsidRPr="00DF11FF" w:rsidRDefault="004504EA" w:rsidP="004504EA">
      <w:pPr>
        <w:pStyle w:val="Heading2"/>
        <w:spacing w:before="240" w:after="240"/>
        <w:jc w:val="left"/>
        <w:rPr>
          <w:rFonts w:cs="Arial"/>
          <w:sz w:val="20"/>
        </w:rPr>
      </w:pPr>
      <w:r w:rsidRPr="00DF11FF">
        <w:rPr>
          <w:rFonts w:cs="Arial"/>
          <w:sz w:val="20"/>
        </w:rPr>
        <w:t xml:space="preserve">Submissions </w:t>
      </w:r>
    </w:p>
    <w:p w:rsidR="004504EA" w:rsidRPr="00DF11FF" w:rsidRDefault="004504EA" w:rsidP="004504EA">
      <w:pPr>
        <w:jc w:val="left"/>
        <w:rPr>
          <w:rFonts w:ascii="Arial" w:hAnsi="Arial" w:cs="Arial"/>
          <w:sz w:val="20"/>
        </w:rPr>
      </w:pPr>
      <w:r w:rsidRPr="00DF11FF">
        <w:rPr>
          <w:rFonts w:ascii="Arial" w:hAnsi="Arial" w:cs="Arial"/>
          <w:sz w:val="20"/>
        </w:rPr>
        <w:t>Any person who ma</w:t>
      </w:r>
      <w:r w:rsidR="00C4781F" w:rsidRPr="00DF11FF">
        <w:rPr>
          <w:rFonts w:ascii="Arial" w:hAnsi="Arial" w:cs="Arial"/>
          <w:sz w:val="20"/>
        </w:rPr>
        <w:t xml:space="preserve">y be affected by the Amendment </w:t>
      </w:r>
      <w:r w:rsidRPr="00DF11FF">
        <w:rPr>
          <w:rFonts w:ascii="Arial" w:hAnsi="Arial" w:cs="Arial"/>
          <w:sz w:val="20"/>
        </w:rPr>
        <w:t>may make a submission to the planning authority.  S</w:t>
      </w:r>
      <w:r w:rsidR="00C4781F" w:rsidRPr="00DF11FF">
        <w:rPr>
          <w:rFonts w:ascii="Arial" w:hAnsi="Arial" w:cs="Arial"/>
          <w:sz w:val="20"/>
        </w:rPr>
        <w:t xml:space="preserve">ubmissions about the </w:t>
      </w:r>
      <w:r w:rsidR="005B3D2B" w:rsidRPr="00DF11FF">
        <w:rPr>
          <w:rFonts w:ascii="Arial" w:hAnsi="Arial" w:cs="Arial"/>
          <w:sz w:val="20"/>
        </w:rPr>
        <w:t xml:space="preserve">Amendment </w:t>
      </w:r>
      <w:r w:rsidR="005B3D2B">
        <w:rPr>
          <w:rFonts w:ascii="Arial" w:hAnsi="Arial" w:cs="Arial"/>
          <w:sz w:val="20"/>
        </w:rPr>
        <w:t>must</w:t>
      </w:r>
      <w:r w:rsidR="00983648">
        <w:rPr>
          <w:rFonts w:ascii="Arial" w:hAnsi="Arial" w:cs="Arial"/>
          <w:sz w:val="20"/>
        </w:rPr>
        <w:t xml:space="preserve"> be received by 24 September 2018</w:t>
      </w:r>
      <w:r w:rsidRPr="00DF11FF">
        <w:rPr>
          <w:rFonts w:ascii="Arial" w:hAnsi="Arial" w:cs="Arial"/>
          <w:color w:val="FF0000"/>
          <w:sz w:val="20"/>
          <w:lang w:val="en-GB"/>
        </w:rPr>
        <w:t>.</w:t>
      </w:r>
    </w:p>
    <w:p w:rsidR="004504EA" w:rsidRPr="00DF11FF" w:rsidRDefault="004504EA" w:rsidP="004504EA">
      <w:pPr>
        <w:jc w:val="left"/>
        <w:rPr>
          <w:rFonts w:ascii="Arial" w:hAnsi="Arial" w:cs="Arial"/>
          <w:sz w:val="20"/>
        </w:rPr>
      </w:pPr>
      <w:r w:rsidRPr="00DF11FF">
        <w:rPr>
          <w:rFonts w:ascii="Arial" w:hAnsi="Arial" w:cs="Arial"/>
          <w:sz w:val="20"/>
        </w:rPr>
        <w:t xml:space="preserve">A submission must be sent to: </w:t>
      </w:r>
    </w:p>
    <w:p w:rsidR="00A64F8D" w:rsidRPr="00DF11FF" w:rsidRDefault="00A64F8D" w:rsidP="004504EA">
      <w:pPr>
        <w:jc w:val="left"/>
        <w:rPr>
          <w:rFonts w:ascii="Arial" w:hAnsi="Arial" w:cs="Arial"/>
          <w:sz w:val="20"/>
        </w:rPr>
      </w:pPr>
      <w:r w:rsidRPr="00DF11FF">
        <w:rPr>
          <w:rFonts w:ascii="Arial" w:hAnsi="Arial" w:cs="Arial"/>
          <w:sz w:val="20"/>
        </w:rPr>
        <w:t>Monash City Council, PO Box 1, Glen Waverley, VIC, 3150</w:t>
      </w:r>
    </w:p>
    <w:p w:rsidR="004504EA" w:rsidRPr="00DF11FF" w:rsidRDefault="004504EA" w:rsidP="004504EA">
      <w:pPr>
        <w:pStyle w:val="Heading2"/>
        <w:spacing w:before="240" w:after="240"/>
        <w:jc w:val="left"/>
        <w:rPr>
          <w:rFonts w:cs="Arial"/>
          <w:sz w:val="20"/>
        </w:rPr>
      </w:pPr>
      <w:r w:rsidRPr="00DF11FF">
        <w:rPr>
          <w:rFonts w:cs="Arial"/>
          <w:sz w:val="20"/>
        </w:rPr>
        <w:t xml:space="preserve">Panel hearing dates </w:t>
      </w:r>
    </w:p>
    <w:p w:rsidR="004504EA" w:rsidRPr="00DF11FF" w:rsidRDefault="004504EA" w:rsidP="004504EA">
      <w:pPr>
        <w:jc w:val="left"/>
        <w:rPr>
          <w:rFonts w:ascii="Arial" w:hAnsi="Arial" w:cs="Arial"/>
          <w:sz w:val="20"/>
        </w:rPr>
      </w:pPr>
      <w:r w:rsidRPr="00DF11FF">
        <w:rPr>
          <w:rFonts w:ascii="Arial" w:hAnsi="Arial" w:cs="Arial"/>
          <w:sz w:val="20"/>
        </w:rPr>
        <w:t>In accordance with clause 4(2) of Ministerial Direction No.15 the following panel hearing dates have been set for this amendment:</w:t>
      </w:r>
    </w:p>
    <w:p w:rsidR="004504EA" w:rsidRPr="005B3D2B" w:rsidRDefault="004504EA" w:rsidP="004504EA">
      <w:pPr>
        <w:numPr>
          <w:ilvl w:val="0"/>
          <w:numId w:val="2"/>
        </w:numPr>
        <w:spacing w:after="120"/>
        <w:ind w:left="357" w:hanging="357"/>
        <w:jc w:val="left"/>
        <w:rPr>
          <w:rFonts w:ascii="Arial" w:hAnsi="Arial" w:cs="Arial"/>
          <w:sz w:val="20"/>
        </w:rPr>
      </w:pPr>
      <w:r w:rsidRPr="005B3D2B">
        <w:rPr>
          <w:rFonts w:ascii="Arial" w:hAnsi="Arial" w:cs="Arial"/>
          <w:sz w:val="20"/>
        </w:rPr>
        <w:t xml:space="preserve">directions hearing:  </w:t>
      </w:r>
      <w:r w:rsidR="005B3D2B" w:rsidRPr="005B3D2B">
        <w:rPr>
          <w:rFonts w:ascii="Arial" w:hAnsi="Arial" w:cs="Arial"/>
          <w:sz w:val="20"/>
          <w:lang w:val="en-GB"/>
        </w:rPr>
        <w:t>week of Monday 5 December 2018</w:t>
      </w:r>
    </w:p>
    <w:p w:rsidR="004504EA" w:rsidRPr="005B3D2B" w:rsidRDefault="004504EA" w:rsidP="004504EA">
      <w:pPr>
        <w:numPr>
          <w:ilvl w:val="0"/>
          <w:numId w:val="2"/>
        </w:numPr>
        <w:spacing w:after="120"/>
        <w:ind w:left="357" w:hanging="357"/>
        <w:jc w:val="left"/>
        <w:rPr>
          <w:rFonts w:ascii="Arial" w:hAnsi="Arial" w:cs="Arial"/>
          <w:sz w:val="20"/>
        </w:rPr>
      </w:pPr>
      <w:r w:rsidRPr="005B3D2B">
        <w:rPr>
          <w:rFonts w:ascii="Arial" w:hAnsi="Arial" w:cs="Arial"/>
          <w:sz w:val="20"/>
        </w:rPr>
        <w:t xml:space="preserve">panel hearing:  </w:t>
      </w:r>
      <w:r w:rsidR="005B3D2B" w:rsidRPr="005B3D2B">
        <w:rPr>
          <w:rFonts w:ascii="Arial" w:hAnsi="Arial" w:cs="Arial"/>
          <w:sz w:val="20"/>
          <w:lang w:val="en-GB"/>
        </w:rPr>
        <w:t>week of Monday 28 January 2019</w:t>
      </w:r>
    </w:p>
    <w:p w:rsidR="009605A8" w:rsidRPr="00E847EF" w:rsidRDefault="009605A8" w:rsidP="009605A8">
      <w:pPr>
        <w:spacing w:after="120"/>
        <w:jc w:val="left"/>
        <w:rPr>
          <w:rFonts w:ascii="Arial" w:hAnsi="Arial" w:cs="Arial"/>
          <w:sz w:val="20"/>
          <w:lang w:val="en-GB"/>
        </w:rPr>
      </w:pPr>
    </w:p>
    <w:p w:rsidR="009605A8" w:rsidRPr="00E847EF" w:rsidRDefault="009605A8">
      <w:pPr>
        <w:spacing w:before="0"/>
        <w:jc w:val="left"/>
        <w:rPr>
          <w:rFonts w:ascii="Arial" w:hAnsi="Arial" w:cs="Arial"/>
          <w:sz w:val="20"/>
          <w:lang w:val="en-GB"/>
        </w:rPr>
      </w:pPr>
      <w:r w:rsidRPr="00E847EF">
        <w:rPr>
          <w:rFonts w:ascii="Arial" w:hAnsi="Arial" w:cs="Arial"/>
          <w:sz w:val="20"/>
          <w:lang w:val="en-GB"/>
        </w:rPr>
        <w:br w:type="page"/>
      </w:r>
    </w:p>
    <w:p w:rsidR="009605A8" w:rsidRPr="00DF11FF" w:rsidRDefault="009605A8" w:rsidP="009605A8">
      <w:pPr>
        <w:pStyle w:val="Heading2"/>
        <w:spacing w:before="240" w:after="240"/>
        <w:jc w:val="left"/>
        <w:rPr>
          <w:rFonts w:cs="Arial"/>
          <w:sz w:val="20"/>
        </w:rPr>
      </w:pPr>
      <w:r w:rsidRPr="00DF11FF">
        <w:rPr>
          <w:rFonts w:cs="Arial"/>
          <w:sz w:val="20"/>
        </w:rPr>
        <w:lastRenderedPageBreak/>
        <w:t>ATTACHMENT A - Mapping reference table</w:t>
      </w:r>
    </w:p>
    <w:p w:rsidR="009605A8" w:rsidRPr="00DF11FF" w:rsidRDefault="009605A8" w:rsidP="009605A8">
      <w:pPr>
        <w:spacing w:before="0"/>
        <w:jc w:val="left"/>
        <w:rPr>
          <w:rFonts w:ascii="Arial" w:hAnsi="Arial" w:cs="Arial"/>
          <w:sz w:val="20"/>
        </w:rPr>
      </w:pPr>
    </w:p>
    <w:tbl>
      <w:tblPr>
        <w:tblW w:w="0" w:type="auto"/>
        <w:tblBorders>
          <w:top w:val="single" w:sz="4" w:space="0" w:color="auto"/>
          <w:bottom w:val="single" w:sz="4" w:space="0" w:color="auto"/>
          <w:insideH w:val="single" w:sz="4" w:space="0" w:color="auto"/>
          <w:insideV w:val="single" w:sz="4" w:space="0" w:color="auto"/>
        </w:tblBorders>
        <w:tblLook w:val="04A0"/>
      </w:tblPr>
      <w:tblGrid>
        <w:gridCol w:w="1921"/>
        <w:gridCol w:w="3181"/>
        <w:gridCol w:w="3925"/>
      </w:tblGrid>
      <w:tr w:rsidR="009605A8" w:rsidRPr="00DF11FF" w:rsidTr="000410A0">
        <w:tc>
          <w:tcPr>
            <w:tcW w:w="1921" w:type="dxa"/>
            <w:tcBorders>
              <w:top w:val="single" w:sz="4" w:space="0" w:color="auto"/>
              <w:left w:val="nil"/>
              <w:bottom w:val="single" w:sz="4" w:space="0" w:color="auto"/>
              <w:right w:val="single" w:sz="4" w:space="0" w:color="auto"/>
            </w:tcBorders>
            <w:shd w:val="clear" w:color="auto" w:fill="000000"/>
            <w:hideMark/>
          </w:tcPr>
          <w:p w:rsidR="009605A8" w:rsidRPr="00DF11FF" w:rsidRDefault="009605A8">
            <w:pPr>
              <w:pStyle w:val="Tablelabel"/>
              <w:rPr>
                <w:rFonts w:cs="Arial"/>
                <w:sz w:val="20"/>
              </w:rPr>
            </w:pPr>
            <w:r w:rsidRPr="00DF11FF">
              <w:rPr>
                <w:rFonts w:cs="Arial"/>
                <w:sz w:val="20"/>
              </w:rPr>
              <w:t xml:space="preserve">Location </w:t>
            </w:r>
          </w:p>
        </w:tc>
        <w:tc>
          <w:tcPr>
            <w:tcW w:w="3181" w:type="dxa"/>
            <w:tcBorders>
              <w:top w:val="single" w:sz="4" w:space="0" w:color="auto"/>
              <w:left w:val="single" w:sz="4" w:space="0" w:color="auto"/>
              <w:bottom w:val="single" w:sz="4" w:space="0" w:color="auto"/>
              <w:right w:val="single" w:sz="4" w:space="0" w:color="auto"/>
            </w:tcBorders>
            <w:shd w:val="clear" w:color="auto" w:fill="000000"/>
            <w:hideMark/>
          </w:tcPr>
          <w:p w:rsidR="009605A8" w:rsidRPr="00DF11FF" w:rsidRDefault="009605A8">
            <w:pPr>
              <w:pStyle w:val="Tablelabel"/>
              <w:rPr>
                <w:rFonts w:cs="Arial"/>
                <w:b w:val="0"/>
                <w:sz w:val="20"/>
              </w:rPr>
            </w:pPr>
            <w:r w:rsidRPr="00DF11FF">
              <w:rPr>
                <w:rFonts w:cs="Arial"/>
                <w:sz w:val="20"/>
              </w:rPr>
              <w:t>Land /Area Affected</w:t>
            </w:r>
          </w:p>
        </w:tc>
        <w:tc>
          <w:tcPr>
            <w:tcW w:w="3925" w:type="dxa"/>
            <w:tcBorders>
              <w:top w:val="single" w:sz="4" w:space="0" w:color="auto"/>
              <w:left w:val="single" w:sz="4" w:space="0" w:color="auto"/>
              <w:bottom w:val="single" w:sz="4" w:space="0" w:color="auto"/>
              <w:right w:val="nil"/>
            </w:tcBorders>
            <w:shd w:val="clear" w:color="auto" w:fill="000000"/>
            <w:hideMark/>
          </w:tcPr>
          <w:p w:rsidR="009605A8" w:rsidRPr="00DF11FF" w:rsidRDefault="009605A8">
            <w:pPr>
              <w:pStyle w:val="Tablelabel"/>
              <w:rPr>
                <w:rFonts w:cs="Arial"/>
                <w:b w:val="0"/>
                <w:sz w:val="20"/>
              </w:rPr>
            </w:pPr>
            <w:r w:rsidRPr="00DF11FF">
              <w:rPr>
                <w:rFonts w:cs="Arial"/>
                <w:sz w:val="20"/>
              </w:rPr>
              <w:t>Mapping Reference</w:t>
            </w:r>
          </w:p>
        </w:tc>
      </w:tr>
      <w:tr w:rsidR="009605A8" w:rsidRPr="00DF11FF" w:rsidTr="000410A0">
        <w:tc>
          <w:tcPr>
            <w:tcW w:w="1921" w:type="dxa"/>
            <w:tcBorders>
              <w:top w:val="single" w:sz="4" w:space="0" w:color="auto"/>
              <w:left w:val="nil"/>
              <w:bottom w:val="single" w:sz="4" w:space="0" w:color="auto"/>
              <w:right w:val="single" w:sz="4" w:space="0" w:color="auto"/>
            </w:tcBorders>
            <w:hideMark/>
          </w:tcPr>
          <w:p w:rsidR="009605A8" w:rsidRPr="00DF11FF" w:rsidRDefault="009605A8" w:rsidP="009605A8">
            <w:pPr>
              <w:pStyle w:val="Tabletext"/>
              <w:jc w:val="left"/>
              <w:rPr>
                <w:rFonts w:cs="Arial"/>
                <w:sz w:val="20"/>
                <w:lang w:val="en-GB"/>
              </w:rPr>
            </w:pPr>
            <w:r w:rsidRPr="00DF11FF">
              <w:rPr>
                <w:rFonts w:cs="Arial"/>
                <w:sz w:val="20"/>
                <w:lang w:val="en-GB"/>
              </w:rPr>
              <w:t xml:space="preserve">Huntingdale </w:t>
            </w:r>
          </w:p>
        </w:tc>
        <w:tc>
          <w:tcPr>
            <w:tcW w:w="3181" w:type="dxa"/>
            <w:tcBorders>
              <w:top w:val="single" w:sz="4" w:space="0" w:color="auto"/>
              <w:left w:val="single" w:sz="4" w:space="0" w:color="auto"/>
              <w:bottom w:val="single" w:sz="4" w:space="0" w:color="auto"/>
              <w:right w:val="single" w:sz="4" w:space="0" w:color="auto"/>
            </w:tcBorders>
            <w:hideMark/>
          </w:tcPr>
          <w:p w:rsidR="009605A8" w:rsidRPr="00DF11FF" w:rsidRDefault="009605A8" w:rsidP="009605A8">
            <w:pPr>
              <w:pStyle w:val="Tabletext"/>
              <w:rPr>
                <w:rFonts w:cs="Arial"/>
                <w:sz w:val="20"/>
                <w:lang w:val="en-GB"/>
              </w:rPr>
            </w:pPr>
            <w:r w:rsidRPr="00DF11FF">
              <w:rPr>
                <w:rFonts w:cs="Arial"/>
                <w:sz w:val="20"/>
                <w:lang w:val="en-GB"/>
              </w:rPr>
              <w:t xml:space="preserve">256-262 Huntingdale Road, Huntingdale (land bounded by Berkeley Street, </w:t>
            </w:r>
            <w:r w:rsidR="00583185" w:rsidRPr="00DF11FF">
              <w:rPr>
                <w:rFonts w:cs="Arial"/>
                <w:sz w:val="20"/>
                <w:lang w:val="en-GB"/>
              </w:rPr>
              <w:t>Huntingdale</w:t>
            </w:r>
            <w:r w:rsidRPr="00DF11FF">
              <w:rPr>
                <w:rFonts w:cs="Arial"/>
                <w:sz w:val="20"/>
                <w:lang w:val="en-GB"/>
              </w:rPr>
              <w:t xml:space="preserve"> Road and Ross Street, Huntingdale)</w:t>
            </w:r>
          </w:p>
        </w:tc>
        <w:tc>
          <w:tcPr>
            <w:tcW w:w="3925" w:type="dxa"/>
            <w:tcBorders>
              <w:top w:val="single" w:sz="4" w:space="0" w:color="auto"/>
              <w:left w:val="single" w:sz="4" w:space="0" w:color="auto"/>
              <w:bottom w:val="single" w:sz="4" w:space="0" w:color="auto"/>
              <w:right w:val="nil"/>
            </w:tcBorders>
            <w:hideMark/>
          </w:tcPr>
          <w:p w:rsidR="009605A8" w:rsidRPr="00DF11FF" w:rsidRDefault="005C3793" w:rsidP="001A0EEF">
            <w:pPr>
              <w:pStyle w:val="Tabletext"/>
              <w:rPr>
                <w:rFonts w:cs="Arial"/>
                <w:color w:val="A6A6A6"/>
                <w:sz w:val="20"/>
                <w:lang w:val="en-GB"/>
              </w:rPr>
            </w:pPr>
            <w:r w:rsidRPr="00DF11FF">
              <w:rPr>
                <w:rFonts w:cs="Arial"/>
                <w:sz w:val="20"/>
                <w:lang w:val="en-GB"/>
              </w:rPr>
              <w:t xml:space="preserve">Monash 001znMap13 </w:t>
            </w:r>
            <w:r w:rsidR="001A0EEF" w:rsidRPr="00DF11FF">
              <w:rPr>
                <w:rFonts w:cs="Arial"/>
                <w:sz w:val="20"/>
                <w:lang w:val="en-GB"/>
              </w:rPr>
              <w:t xml:space="preserve">Exhibition </w:t>
            </w:r>
          </w:p>
        </w:tc>
      </w:tr>
      <w:tr w:rsidR="005C3793" w:rsidRPr="00DF11FF" w:rsidTr="000410A0">
        <w:trPr>
          <w:trHeight w:val="1257"/>
        </w:trPr>
        <w:tc>
          <w:tcPr>
            <w:tcW w:w="1921" w:type="dxa"/>
            <w:tcBorders>
              <w:top w:val="single" w:sz="4" w:space="0" w:color="auto"/>
              <w:left w:val="nil"/>
              <w:bottom w:val="single" w:sz="4" w:space="0" w:color="auto"/>
              <w:right w:val="single" w:sz="4" w:space="0" w:color="auto"/>
            </w:tcBorders>
            <w:hideMark/>
          </w:tcPr>
          <w:p w:rsidR="005C3793" w:rsidRPr="00DF11FF" w:rsidRDefault="005C3793" w:rsidP="005C3793">
            <w:pPr>
              <w:pStyle w:val="Tabletext"/>
              <w:jc w:val="left"/>
              <w:rPr>
                <w:rFonts w:cs="Arial"/>
                <w:sz w:val="20"/>
                <w:lang w:val="en-GB"/>
              </w:rPr>
            </w:pPr>
            <w:r w:rsidRPr="00DF11FF">
              <w:rPr>
                <w:rFonts w:cs="Arial"/>
                <w:sz w:val="20"/>
                <w:lang w:val="en-GB"/>
              </w:rPr>
              <w:t xml:space="preserve">Huntingdale </w:t>
            </w:r>
          </w:p>
        </w:tc>
        <w:tc>
          <w:tcPr>
            <w:tcW w:w="3181" w:type="dxa"/>
            <w:tcBorders>
              <w:top w:val="single" w:sz="4" w:space="0" w:color="auto"/>
              <w:left w:val="single" w:sz="4" w:space="0" w:color="auto"/>
              <w:bottom w:val="single" w:sz="4" w:space="0" w:color="auto"/>
              <w:right w:val="single" w:sz="4" w:space="0" w:color="auto"/>
            </w:tcBorders>
          </w:tcPr>
          <w:p w:rsidR="005C3793" w:rsidRPr="00DF11FF" w:rsidRDefault="005C3793" w:rsidP="005C3793">
            <w:pPr>
              <w:pStyle w:val="Tabletext"/>
              <w:rPr>
                <w:rFonts w:cs="Arial"/>
                <w:sz w:val="20"/>
                <w:lang w:val="en-GB"/>
              </w:rPr>
            </w:pPr>
            <w:r w:rsidRPr="00DF11FF">
              <w:rPr>
                <w:rFonts w:cs="Arial"/>
                <w:sz w:val="20"/>
                <w:lang w:val="en-GB"/>
              </w:rPr>
              <w:t xml:space="preserve">256-262 Huntingdale Road, Huntingdale (land bounded by Berkeley Street, </w:t>
            </w:r>
            <w:r w:rsidR="00583185" w:rsidRPr="00DF11FF">
              <w:rPr>
                <w:rFonts w:cs="Arial"/>
                <w:sz w:val="20"/>
                <w:lang w:val="en-GB"/>
              </w:rPr>
              <w:t>Huntingdale</w:t>
            </w:r>
            <w:r w:rsidRPr="00DF11FF">
              <w:rPr>
                <w:rFonts w:cs="Arial"/>
                <w:sz w:val="20"/>
                <w:lang w:val="en-GB"/>
              </w:rPr>
              <w:t xml:space="preserve"> Road and Ross Street, Huntingdale)</w:t>
            </w:r>
          </w:p>
        </w:tc>
        <w:tc>
          <w:tcPr>
            <w:tcW w:w="3925" w:type="dxa"/>
            <w:tcBorders>
              <w:top w:val="single" w:sz="4" w:space="0" w:color="auto"/>
              <w:left w:val="single" w:sz="4" w:space="0" w:color="auto"/>
              <w:bottom w:val="single" w:sz="4" w:space="0" w:color="auto"/>
              <w:right w:val="nil"/>
            </w:tcBorders>
          </w:tcPr>
          <w:p w:rsidR="005C3793" w:rsidRPr="00DF11FF" w:rsidRDefault="005C3793" w:rsidP="005C3793">
            <w:pPr>
              <w:pStyle w:val="Tabletext"/>
              <w:rPr>
                <w:rFonts w:cs="Arial"/>
                <w:sz w:val="20"/>
                <w:lang w:val="en-GB"/>
              </w:rPr>
            </w:pPr>
            <w:r w:rsidRPr="00DF11FF">
              <w:rPr>
                <w:rFonts w:cs="Arial"/>
                <w:sz w:val="20"/>
                <w:lang w:val="en-GB"/>
              </w:rPr>
              <w:t xml:space="preserve">Monash </w:t>
            </w:r>
            <w:r w:rsidR="001A0EEF" w:rsidRPr="00DF11FF">
              <w:rPr>
                <w:rFonts w:cs="Arial"/>
                <w:sz w:val="20"/>
                <w:lang w:val="en-GB"/>
              </w:rPr>
              <w:t>002d-ddo</w:t>
            </w:r>
            <w:r w:rsidRPr="00DF11FF">
              <w:rPr>
                <w:rFonts w:cs="Arial"/>
                <w:sz w:val="20"/>
                <w:lang w:val="en-GB"/>
              </w:rPr>
              <w:t xml:space="preserve">Map13 </w:t>
            </w:r>
            <w:r w:rsidR="001A0EEF" w:rsidRPr="00DF11FF">
              <w:rPr>
                <w:rFonts w:cs="Arial"/>
                <w:sz w:val="20"/>
                <w:lang w:val="en-GB"/>
              </w:rPr>
              <w:t>Exhibition</w:t>
            </w:r>
          </w:p>
          <w:p w:rsidR="005C3793" w:rsidRPr="00DF11FF" w:rsidRDefault="005C3793" w:rsidP="005C3793">
            <w:pPr>
              <w:pStyle w:val="Tabletext"/>
              <w:rPr>
                <w:rFonts w:cs="Arial"/>
                <w:color w:val="A6A6A6"/>
                <w:sz w:val="20"/>
                <w:lang w:val="en-GB"/>
              </w:rPr>
            </w:pPr>
          </w:p>
        </w:tc>
      </w:tr>
      <w:tr w:rsidR="005C3793" w:rsidRPr="00DF11FF" w:rsidTr="000410A0">
        <w:tc>
          <w:tcPr>
            <w:tcW w:w="1921" w:type="dxa"/>
            <w:tcBorders>
              <w:top w:val="single" w:sz="4" w:space="0" w:color="auto"/>
              <w:left w:val="nil"/>
              <w:bottom w:val="single" w:sz="4" w:space="0" w:color="auto"/>
              <w:right w:val="single" w:sz="4" w:space="0" w:color="auto"/>
            </w:tcBorders>
          </w:tcPr>
          <w:p w:rsidR="005C3793" w:rsidRPr="00DF11FF" w:rsidRDefault="005C3793" w:rsidP="005C3793">
            <w:pPr>
              <w:pStyle w:val="Tabletext"/>
              <w:jc w:val="left"/>
              <w:rPr>
                <w:rFonts w:cs="Arial"/>
                <w:sz w:val="20"/>
                <w:lang w:val="en-GB"/>
              </w:rPr>
            </w:pPr>
            <w:r w:rsidRPr="00DF11FF">
              <w:rPr>
                <w:rFonts w:cs="Arial"/>
                <w:sz w:val="20"/>
                <w:lang w:val="en-GB"/>
              </w:rPr>
              <w:t xml:space="preserve">Huntingdale </w:t>
            </w:r>
          </w:p>
        </w:tc>
        <w:tc>
          <w:tcPr>
            <w:tcW w:w="3181" w:type="dxa"/>
            <w:tcBorders>
              <w:top w:val="single" w:sz="4" w:space="0" w:color="auto"/>
              <w:left w:val="single" w:sz="4" w:space="0" w:color="auto"/>
              <w:bottom w:val="single" w:sz="4" w:space="0" w:color="auto"/>
              <w:right w:val="single" w:sz="4" w:space="0" w:color="auto"/>
            </w:tcBorders>
          </w:tcPr>
          <w:p w:rsidR="005C3793" w:rsidRPr="00DF11FF" w:rsidRDefault="005C3793" w:rsidP="005C3793">
            <w:pPr>
              <w:pStyle w:val="Tabletext"/>
              <w:rPr>
                <w:rFonts w:cs="Arial"/>
                <w:sz w:val="20"/>
                <w:lang w:val="en-GB"/>
              </w:rPr>
            </w:pPr>
            <w:r w:rsidRPr="00DF11FF">
              <w:rPr>
                <w:rFonts w:cs="Arial"/>
                <w:sz w:val="20"/>
                <w:lang w:val="en-GB"/>
              </w:rPr>
              <w:t xml:space="preserve">256-262 Huntingdale Road, Huntingdale (land bounded by Berkeley Street, </w:t>
            </w:r>
            <w:r w:rsidR="00583185" w:rsidRPr="00DF11FF">
              <w:rPr>
                <w:rFonts w:cs="Arial"/>
                <w:sz w:val="20"/>
                <w:lang w:val="en-GB"/>
              </w:rPr>
              <w:t>Huntingdale</w:t>
            </w:r>
            <w:r w:rsidRPr="00DF11FF">
              <w:rPr>
                <w:rFonts w:cs="Arial"/>
                <w:sz w:val="20"/>
                <w:lang w:val="en-GB"/>
              </w:rPr>
              <w:t xml:space="preserve"> Road and Ross Street, Huntingdale)</w:t>
            </w:r>
          </w:p>
        </w:tc>
        <w:tc>
          <w:tcPr>
            <w:tcW w:w="3925" w:type="dxa"/>
            <w:tcBorders>
              <w:top w:val="single" w:sz="4" w:space="0" w:color="auto"/>
              <w:left w:val="single" w:sz="4" w:space="0" w:color="auto"/>
              <w:bottom w:val="single" w:sz="4" w:space="0" w:color="auto"/>
              <w:right w:val="nil"/>
            </w:tcBorders>
          </w:tcPr>
          <w:p w:rsidR="005C3793" w:rsidRPr="00DF11FF" w:rsidRDefault="000410A0" w:rsidP="005C3793">
            <w:pPr>
              <w:pStyle w:val="Tabletext"/>
              <w:rPr>
                <w:rFonts w:cs="Arial"/>
                <w:sz w:val="20"/>
                <w:lang w:val="en-GB"/>
              </w:rPr>
            </w:pPr>
            <w:r>
              <w:rPr>
                <w:rFonts w:cs="Arial"/>
                <w:sz w:val="20"/>
                <w:lang w:val="en-GB"/>
              </w:rPr>
              <w:t>Monash 004</w:t>
            </w:r>
            <w:r w:rsidR="001A0EEF" w:rsidRPr="00DF11FF">
              <w:rPr>
                <w:rFonts w:cs="Arial"/>
                <w:sz w:val="20"/>
                <w:lang w:val="en-GB"/>
              </w:rPr>
              <w:t>eao</w:t>
            </w:r>
            <w:r w:rsidR="005C3793" w:rsidRPr="00DF11FF">
              <w:rPr>
                <w:rFonts w:cs="Arial"/>
                <w:sz w:val="20"/>
                <w:lang w:val="en-GB"/>
              </w:rPr>
              <w:t xml:space="preserve">Map13 </w:t>
            </w:r>
            <w:r w:rsidR="001A0EEF" w:rsidRPr="00DF11FF">
              <w:rPr>
                <w:rFonts w:cs="Arial"/>
                <w:sz w:val="20"/>
                <w:lang w:val="en-GB"/>
              </w:rPr>
              <w:t>Exhibition</w:t>
            </w:r>
          </w:p>
          <w:p w:rsidR="005C3793" w:rsidRPr="00DF11FF" w:rsidRDefault="005C3793" w:rsidP="005C3793">
            <w:pPr>
              <w:pStyle w:val="Tabletext"/>
              <w:rPr>
                <w:rFonts w:cs="Arial"/>
                <w:color w:val="A6A6A6"/>
                <w:sz w:val="20"/>
                <w:lang w:val="en-GB"/>
              </w:rPr>
            </w:pPr>
          </w:p>
        </w:tc>
      </w:tr>
    </w:tbl>
    <w:p w:rsidR="001A0EEF" w:rsidRPr="00DF11FF" w:rsidRDefault="001A0EEF" w:rsidP="009605A8">
      <w:pPr>
        <w:pStyle w:val="Heading2"/>
        <w:jc w:val="left"/>
        <w:rPr>
          <w:rFonts w:cs="Arial"/>
          <w:sz w:val="20"/>
        </w:rPr>
      </w:pPr>
    </w:p>
    <w:p w:rsidR="001A77DC" w:rsidRPr="003D2F79" w:rsidRDefault="001A77DC" w:rsidP="003D2F79">
      <w:pPr>
        <w:spacing w:before="0"/>
        <w:jc w:val="left"/>
        <w:rPr>
          <w:rFonts w:ascii="Arial" w:hAnsi="Arial" w:cs="Arial"/>
          <w:b/>
          <w:bCs/>
          <w:sz w:val="20"/>
        </w:rPr>
      </w:pPr>
    </w:p>
    <w:sectPr w:rsidR="001A77DC" w:rsidRPr="003D2F79" w:rsidSect="00DF532A">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5CA" w:rsidRDefault="00D645CA" w:rsidP="00352426">
      <w:pPr>
        <w:spacing w:before="0"/>
      </w:pPr>
      <w:r>
        <w:separator/>
      </w:r>
    </w:p>
  </w:endnote>
  <w:endnote w:type="continuationSeparator" w:id="0">
    <w:p w:rsidR="00D645CA" w:rsidRDefault="00D645CA" w:rsidP="00352426">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426" w:rsidRDefault="003524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426" w:rsidRDefault="003524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426" w:rsidRDefault="003524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5CA" w:rsidRDefault="00D645CA" w:rsidP="00352426">
      <w:pPr>
        <w:spacing w:before="0"/>
      </w:pPr>
      <w:r>
        <w:separator/>
      </w:r>
    </w:p>
  </w:footnote>
  <w:footnote w:type="continuationSeparator" w:id="0">
    <w:p w:rsidR="00D645CA" w:rsidRDefault="00D645CA" w:rsidP="00352426">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426" w:rsidRDefault="003524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426" w:rsidRDefault="003524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426" w:rsidRDefault="003524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B4D42"/>
    <w:multiLevelType w:val="hybridMultilevel"/>
    <w:tmpl w:val="3B56CDD0"/>
    <w:lvl w:ilvl="0" w:tplc="0C090017">
      <w:start w:val="1"/>
      <w:numFmt w:val="lowerLetter"/>
      <w:lvlText w:val="%1)"/>
      <w:lvlJc w:val="left"/>
      <w:pPr>
        <w:ind w:left="1440" w:hanging="360"/>
      </w:pPr>
    </w:lvl>
    <w:lvl w:ilvl="1" w:tplc="0C090017">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1BB809EC"/>
    <w:multiLevelType w:val="hybridMultilevel"/>
    <w:tmpl w:val="BDE447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F582D76"/>
    <w:multiLevelType w:val="hybridMultilevel"/>
    <w:tmpl w:val="8EA0F17E"/>
    <w:lvl w:ilvl="0" w:tplc="0C090001">
      <w:start w:val="1"/>
      <w:numFmt w:val="bullet"/>
      <w:lvlText w:val=""/>
      <w:lvlJc w:val="left"/>
      <w:pPr>
        <w:ind w:left="1080" w:hanging="360"/>
      </w:pPr>
      <w:rPr>
        <w:rFonts w:ascii="Symbol" w:hAnsi="Symbol" w:hint="default"/>
      </w:rPr>
    </w:lvl>
    <w:lvl w:ilvl="1" w:tplc="A636CE1E">
      <w:start w:val="1"/>
      <w:numFmt w:val="lowerLetter"/>
      <w:lvlText w:val="(%2)"/>
      <w:lvlJc w:val="left"/>
      <w:pPr>
        <w:ind w:left="2160" w:hanging="72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27680BCE"/>
    <w:multiLevelType w:val="hybridMultilevel"/>
    <w:tmpl w:val="0CEAD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D276647"/>
    <w:multiLevelType w:val="hybridMultilevel"/>
    <w:tmpl w:val="22907592"/>
    <w:lvl w:ilvl="0" w:tplc="E1D69020">
      <w:start w:val="1"/>
      <w:numFmt w:val="decimal"/>
      <w:pStyle w:val="NumberedParagraph"/>
      <w:lvlText w:val="%1."/>
      <w:lvlJc w:val="left"/>
      <w:pPr>
        <w:ind w:left="720" w:hanging="360"/>
      </w:pPr>
    </w:lvl>
    <w:lvl w:ilvl="1" w:tplc="A636CE1E">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14A2F78"/>
    <w:multiLevelType w:val="hybridMultilevel"/>
    <w:tmpl w:val="A8C2B61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318336B9"/>
    <w:multiLevelType w:val="hybridMultilevel"/>
    <w:tmpl w:val="B59C9E9C"/>
    <w:lvl w:ilvl="0" w:tplc="0C090001">
      <w:start w:val="1"/>
      <w:numFmt w:val="bullet"/>
      <w:lvlText w:val=""/>
      <w:lvlJc w:val="left"/>
      <w:pPr>
        <w:ind w:left="838" w:hanging="360"/>
      </w:pPr>
      <w:rPr>
        <w:rFonts w:ascii="Symbol" w:hAnsi="Symbol" w:hint="default"/>
      </w:rPr>
    </w:lvl>
    <w:lvl w:ilvl="1" w:tplc="0C090003" w:tentative="1">
      <w:start w:val="1"/>
      <w:numFmt w:val="bullet"/>
      <w:lvlText w:val="o"/>
      <w:lvlJc w:val="left"/>
      <w:pPr>
        <w:ind w:left="1558" w:hanging="360"/>
      </w:pPr>
      <w:rPr>
        <w:rFonts w:ascii="Courier New" w:hAnsi="Courier New" w:cs="Courier New" w:hint="default"/>
      </w:rPr>
    </w:lvl>
    <w:lvl w:ilvl="2" w:tplc="0C090005" w:tentative="1">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7">
    <w:nsid w:val="388E597C"/>
    <w:multiLevelType w:val="hybridMultilevel"/>
    <w:tmpl w:val="6B540AF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nsid w:val="3A301273"/>
    <w:multiLevelType w:val="singleLevel"/>
    <w:tmpl w:val="0F48A72E"/>
    <w:lvl w:ilvl="0">
      <w:start w:val="1"/>
      <w:numFmt w:val="lowerLetter"/>
      <w:lvlText w:val="%1)"/>
      <w:lvlJc w:val="left"/>
      <w:pPr>
        <w:tabs>
          <w:tab w:val="num" w:pos="567"/>
        </w:tabs>
        <w:ind w:left="567" w:hanging="567"/>
      </w:pPr>
      <w:rPr>
        <w:b w:val="0"/>
        <w:i w:val="0"/>
        <w:sz w:val="24"/>
      </w:rPr>
    </w:lvl>
  </w:abstractNum>
  <w:abstractNum w:abstractNumId="9">
    <w:nsid w:val="3D727254"/>
    <w:multiLevelType w:val="hybridMultilevel"/>
    <w:tmpl w:val="AA40D7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3F9870ED"/>
    <w:multiLevelType w:val="hybridMultilevel"/>
    <w:tmpl w:val="CB949D76"/>
    <w:lvl w:ilvl="0" w:tplc="5B0EC502">
      <w:start w:val="1"/>
      <w:numFmt w:val="bullet"/>
      <w:pStyle w:val="Letter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C4717E"/>
    <w:multiLevelType w:val="hybridMultilevel"/>
    <w:tmpl w:val="68EA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38D3F7E"/>
    <w:multiLevelType w:val="hybridMultilevel"/>
    <w:tmpl w:val="EC5AF728"/>
    <w:lvl w:ilvl="0" w:tplc="1AFE0950">
      <w:start w:val="1"/>
      <w:numFmt w:val="lowerLetter"/>
      <w:lvlText w:val="%1)"/>
      <w:lvlJc w:val="left"/>
      <w:pPr>
        <w:tabs>
          <w:tab w:val="num" w:pos="567"/>
        </w:tabs>
        <w:ind w:left="567" w:hanging="56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8CD6D3E"/>
    <w:multiLevelType w:val="hybridMultilevel"/>
    <w:tmpl w:val="88280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BA76B08"/>
    <w:multiLevelType w:val="hybridMultilevel"/>
    <w:tmpl w:val="B0100046"/>
    <w:lvl w:ilvl="0" w:tplc="0C090017">
      <w:start w:val="1"/>
      <w:numFmt w:val="lowerLetter"/>
      <w:lvlText w:val="%1)"/>
      <w:lvlJc w:val="left"/>
      <w:pPr>
        <w:tabs>
          <w:tab w:val="num" w:pos="1287"/>
        </w:tabs>
        <w:ind w:left="1287" w:hanging="567"/>
      </w:pPr>
    </w:lvl>
    <w:lvl w:ilvl="1" w:tplc="FFFFFFFF">
      <w:start w:val="1"/>
      <w:numFmt w:val="bullet"/>
      <w:lvlText w:val=""/>
      <w:lvlJc w:val="left"/>
      <w:pPr>
        <w:tabs>
          <w:tab w:val="num" w:pos="1287"/>
        </w:tabs>
        <w:ind w:left="1287" w:hanging="567"/>
      </w:pPr>
      <w:rPr>
        <w:rFonts w:ascii="Symbol" w:hAnsi="Symbol" w:hint="default"/>
      </w:rPr>
    </w:lvl>
    <w:lvl w:ilvl="2" w:tplc="FFFFFFFF">
      <w:start w:val="1"/>
      <w:numFmt w:val="lowerRoman"/>
      <w:lvlText w:val="%3."/>
      <w:lvlJc w:val="right"/>
      <w:pPr>
        <w:tabs>
          <w:tab w:val="num" w:pos="2313"/>
        </w:tabs>
        <w:ind w:left="2313" w:hanging="180"/>
      </w:pPr>
    </w:lvl>
    <w:lvl w:ilvl="3" w:tplc="FFFFFFFF">
      <w:start w:val="1"/>
      <w:numFmt w:val="decimal"/>
      <w:lvlText w:val="%4."/>
      <w:lvlJc w:val="left"/>
      <w:pPr>
        <w:tabs>
          <w:tab w:val="num" w:pos="3033"/>
        </w:tabs>
        <w:ind w:left="3033" w:hanging="360"/>
      </w:pPr>
    </w:lvl>
    <w:lvl w:ilvl="4" w:tplc="FFFFFFFF">
      <w:start w:val="1"/>
      <w:numFmt w:val="lowerLetter"/>
      <w:lvlText w:val="%5."/>
      <w:lvlJc w:val="left"/>
      <w:pPr>
        <w:tabs>
          <w:tab w:val="num" w:pos="1287"/>
        </w:tabs>
        <w:ind w:left="1287" w:hanging="567"/>
      </w:pPr>
    </w:lvl>
    <w:lvl w:ilvl="5" w:tplc="FFFFFFFF">
      <w:start w:val="1"/>
      <w:numFmt w:val="lowerRoman"/>
      <w:lvlText w:val="%6."/>
      <w:lvlJc w:val="right"/>
      <w:pPr>
        <w:tabs>
          <w:tab w:val="num" w:pos="4473"/>
        </w:tabs>
        <w:ind w:left="4473" w:hanging="180"/>
      </w:pPr>
    </w:lvl>
    <w:lvl w:ilvl="6" w:tplc="FFFFFFFF">
      <w:start w:val="1"/>
      <w:numFmt w:val="decimal"/>
      <w:lvlText w:val="%7."/>
      <w:lvlJc w:val="left"/>
      <w:pPr>
        <w:tabs>
          <w:tab w:val="num" w:pos="5193"/>
        </w:tabs>
        <w:ind w:left="5193" w:hanging="360"/>
      </w:pPr>
    </w:lvl>
    <w:lvl w:ilvl="7" w:tplc="FFFFFFFF">
      <w:start w:val="1"/>
      <w:numFmt w:val="lowerLetter"/>
      <w:lvlText w:val="%8."/>
      <w:lvlJc w:val="left"/>
      <w:pPr>
        <w:tabs>
          <w:tab w:val="num" w:pos="5913"/>
        </w:tabs>
        <w:ind w:left="5913" w:hanging="360"/>
      </w:pPr>
    </w:lvl>
    <w:lvl w:ilvl="8" w:tplc="FFFFFFFF">
      <w:start w:val="1"/>
      <w:numFmt w:val="lowerRoman"/>
      <w:lvlText w:val="%9."/>
      <w:lvlJc w:val="right"/>
      <w:pPr>
        <w:tabs>
          <w:tab w:val="num" w:pos="6633"/>
        </w:tabs>
        <w:ind w:left="6633" w:hanging="180"/>
      </w:pPr>
    </w:lvl>
  </w:abstractNum>
  <w:abstractNum w:abstractNumId="15">
    <w:nsid w:val="60A14C00"/>
    <w:multiLevelType w:val="hybridMultilevel"/>
    <w:tmpl w:val="1C069290"/>
    <w:lvl w:ilvl="0" w:tplc="C160F1F4">
      <w:start w:val="1"/>
      <w:numFmt w:val="bullet"/>
      <w:pStyle w:val="Heading3"/>
      <w:lvlText w:val=""/>
      <w:lvlJc w:val="left"/>
      <w:pPr>
        <w:tabs>
          <w:tab w:val="num" w:pos="284"/>
        </w:tabs>
        <w:ind w:left="284" w:hanging="284"/>
      </w:pPr>
      <w:rPr>
        <w:rFonts w:ascii="Symbol" w:hAnsi="Symbol" w:hint="default"/>
        <w:sz w:val="20"/>
      </w:rPr>
    </w:lvl>
    <w:lvl w:ilvl="1" w:tplc="E8AEF58C">
      <w:start w:val="1"/>
      <w:numFmt w:val="bullet"/>
      <w:pStyle w:val="List2"/>
      <w:lvlText w:val=""/>
      <w:lvlJc w:val="left"/>
      <w:pPr>
        <w:tabs>
          <w:tab w:val="num" w:pos="1440"/>
        </w:tabs>
        <w:ind w:left="1440" w:hanging="360"/>
      </w:pPr>
      <w:rPr>
        <w:rFonts w:ascii="Wingdings" w:hAnsi="Wingdings" w:hint="default"/>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0F2734F"/>
    <w:multiLevelType w:val="multilevel"/>
    <w:tmpl w:val="BED225BA"/>
    <w:lvl w:ilvl="0">
      <w:start w:val="1"/>
      <w:numFmt w:val="decimal"/>
      <w:pStyle w:val="Order2"/>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7"/>
      </w:pPr>
      <w:rPr>
        <w:sz w:val="22"/>
      </w:rPr>
    </w:lvl>
    <w:lvl w:ilvl="4">
      <w:start w:val="1"/>
      <w:numFmt w:val="lowerLetter"/>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7">
    <w:nsid w:val="60F27355"/>
    <w:multiLevelType w:val="hybridMultilevel"/>
    <w:tmpl w:val="A59A9106"/>
    <w:lvl w:ilvl="0" w:tplc="FFFFFFFF">
      <w:start w:val="1"/>
      <w:numFmt w:val="lowerLetter"/>
      <w:pStyle w:val="Para4"/>
      <w:lvlText w:val="%1"/>
      <w:lvlJc w:val="left"/>
      <w:pPr>
        <w:tabs>
          <w:tab w:val="num" w:pos="1134"/>
        </w:tabs>
        <w:ind w:left="1134" w:hanging="567"/>
      </w:pPr>
    </w:lvl>
    <w:lvl w:ilvl="1" w:tplc="FFFFFFFF">
      <w:start w:val="1"/>
      <w:numFmt w:val="bullet"/>
      <w:lvlText w:val=""/>
      <w:lvlJc w:val="left"/>
      <w:pPr>
        <w:tabs>
          <w:tab w:val="num" w:pos="1134"/>
        </w:tabs>
        <w:ind w:left="1134" w:hanging="567"/>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pStyle w:val="Para4"/>
      <w:lvlText w:val="%5."/>
      <w:lvlJc w:val="left"/>
      <w:pPr>
        <w:tabs>
          <w:tab w:val="num" w:pos="1134"/>
        </w:tabs>
        <w:ind w:left="1134" w:hanging="567"/>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64D17593"/>
    <w:multiLevelType w:val="hybridMultilevel"/>
    <w:tmpl w:val="94EA54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9">
    <w:nsid w:val="662C6CF1"/>
    <w:multiLevelType w:val="hybridMultilevel"/>
    <w:tmpl w:val="5C7A2BB4"/>
    <w:lvl w:ilvl="0" w:tplc="1472B5AA">
      <w:start w:val="1"/>
      <w:numFmt w:val="bullet"/>
      <w:lvlText w:val=""/>
      <w:lvlJc w:val="left"/>
      <w:pPr>
        <w:tabs>
          <w:tab w:val="num" w:pos="1134"/>
        </w:tabs>
        <w:ind w:left="1134" w:hanging="567"/>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nsid w:val="6C3F7AED"/>
    <w:multiLevelType w:val="hybridMultilevel"/>
    <w:tmpl w:val="028621F8"/>
    <w:lvl w:ilvl="0" w:tplc="90C432BA">
      <w:start w:val="1"/>
      <w:numFmt w:val="lowerLetter"/>
      <w:lvlText w:val="%1)"/>
      <w:lvlJc w:val="left"/>
      <w:pPr>
        <w:ind w:left="720" w:hanging="360"/>
      </w:pPr>
      <w:rPr>
        <w:rFonts w:ascii="Calibri" w:hAnsi="Calibri" w:hint="default"/>
        <w:b w:val="0"/>
        <w:i w:val="0"/>
        <w:sz w:val="24"/>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7470448B"/>
    <w:multiLevelType w:val="hybridMultilevel"/>
    <w:tmpl w:val="A35A4F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3"/>
  </w:num>
  <w:num w:numId="4">
    <w:abstractNumId w:val="6"/>
  </w:num>
  <w:num w:numId="5">
    <w:abstractNumId w:val="11"/>
  </w:num>
  <w:num w:numId="6">
    <w:abstractNumId w:val="21"/>
  </w:num>
  <w:num w:numId="7">
    <w:abstractNumId w:val="8"/>
  </w:num>
  <w:num w:numId="8">
    <w:abstractNumId w:val="4"/>
  </w:num>
  <w:num w:numId="9">
    <w:abstractNumId w:val="12"/>
  </w:num>
  <w:num w:numId="10">
    <w:abstractNumId w:val="19"/>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0"/>
  </w:num>
  <w:num w:numId="14">
    <w:abstractNumId w:val="10"/>
  </w:num>
  <w:num w:numId="15">
    <w:abstractNumId w:val="9"/>
  </w:num>
  <w:num w:numId="16">
    <w:abstractNumId w:val="4"/>
    <w:lvlOverride w:ilvl="0">
      <w:startOverride w:val="1"/>
    </w:lvlOverride>
  </w:num>
  <w:num w:numId="17">
    <w:abstractNumId w:val="18"/>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
  </w:num>
  <w:num w:numId="22">
    <w:abstractNumId w:val="7"/>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ghann Mackay">
    <w15:presenceInfo w15:providerId="AD" w15:userId="S-1-5-21-249772891-951529856-16515117-1321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4504EA"/>
    <w:rsid w:val="00031D76"/>
    <w:rsid w:val="000410A0"/>
    <w:rsid w:val="000A7EA6"/>
    <w:rsid w:val="000F0B2A"/>
    <w:rsid w:val="00180131"/>
    <w:rsid w:val="001A0EEF"/>
    <w:rsid w:val="001A3A32"/>
    <w:rsid w:val="001A77DC"/>
    <w:rsid w:val="002466DF"/>
    <w:rsid w:val="00252975"/>
    <w:rsid w:val="002723A2"/>
    <w:rsid w:val="002D280F"/>
    <w:rsid w:val="00352426"/>
    <w:rsid w:val="00387BAC"/>
    <w:rsid w:val="003D2F79"/>
    <w:rsid w:val="003F35B6"/>
    <w:rsid w:val="00450263"/>
    <w:rsid w:val="004504EA"/>
    <w:rsid w:val="004D1B16"/>
    <w:rsid w:val="004D31FF"/>
    <w:rsid w:val="004E06EE"/>
    <w:rsid w:val="004E0DF7"/>
    <w:rsid w:val="004E2C64"/>
    <w:rsid w:val="004E7488"/>
    <w:rsid w:val="00545F68"/>
    <w:rsid w:val="00583185"/>
    <w:rsid w:val="005A3010"/>
    <w:rsid w:val="005A6B4F"/>
    <w:rsid w:val="005B3D2B"/>
    <w:rsid w:val="005C1EFC"/>
    <w:rsid w:val="005C3793"/>
    <w:rsid w:val="005C3F14"/>
    <w:rsid w:val="00657DA0"/>
    <w:rsid w:val="0067525F"/>
    <w:rsid w:val="00720BF6"/>
    <w:rsid w:val="007535D6"/>
    <w:rsid w:val="00786875"/>
    <w:rsid w:val="008076F6"/>
    <w:rsid w:val="00835B52"/>
    <w:rsid w:val="00864CE2"/>
    <w:rsid w:val="008D5E7D"/>
    <w:rsid w:val="009605A8"/>
    <w:rsid w:val="00983648"/>
    <w:rsid w:val="009E2C99"/>
    <w:rsid w:val="00A64F8D"/>
    <w:rsid w:val="00AE0F28"/>
    <w:rsid w:val="00B15B63"/>
    <w:rsid w:val="00B17682"/>
    <w:rsid w:val="00B45AD6"/>
    <w:rsid w:val="00BB5082"/>
    <w:rsid w:val="00C12C8B"/>
    <w:rsid w:val="00C329CC"/>
    <w:rsid w:val="00C4781F"/>
    <w:rsid w:val="00C54642"/>
    <w:rsid w:val="00C75654"/>
    <w:rsid w:val="00C812C6"/>
    <w:rsid w:val="00CB7AC4"/>
    <w:rsid w:val="00CC0B38"/>
    <w:rsid w:val="00CC497C"/>
    <w:rsid w:val="00D645CA"/>
    <w:rsid w:val="00DF11FF"/>
    <w:rsid w:val="00DF532A"/>
    <w:rsid w:val="00E847EF"/>
    <w:rsid w:val="00EF61E6"/>
    <w:rsid w:val="00F6639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4EA"/>
    <w:pPr>
      <w:spacing w:before="120"/>
      <w:jc w:val="both"/>
    </w:pPr>
    <w:rPr>
      <w:rFonts w:ascii="Times" w:eastAsia="Times New Roman" w:hAnsi="Times" w:cs="Times New Roman"/>
      <w:sz w:val="24"/>
      <w:szCs w:val="20"/>
      <w:lang w:eastAsia="en-AU"/>
    </w:rPr>
  </w:style>
  <w:style w:type="paragraph" w:styleId="Heading1">
    <w:name w:val="heading 1"/>
    <w:basedOn w:val="Normal"/>
    <w:link w:val="Heading1Char"/>
    <w:qFormat/>
    <w:rsid w:val="004504EA"/>
    <w:pPr>
      <w:keepNext/>
      <w:keepLines/>
      <w:spacing w:before="240"/>
      <w:jc w:val="center"/>
      <w:outlineLvl w:val="0"/>
    </w:pPr>
    <w:rPr>
      <w:rFonts w:ascii="Arial" w:hAnsi="Arial"/>
      <w:b/>
      <w:bCs/>
      <w:caps/>
    </w:rPr>
  </w:style>
  <w:style w:type="paragraph" w:styleId="Heading2">
    <w:name w:val="heading 2"/>
    <w:basedOn w:val="Normal"/>
    <w:link w:val="Heading2Char"/>
    <w:qFormat/>
    <w:rsid w:val="004504EA"/>
    <w:pPr>
      <w:spacing w:before="360"/>
      <w:outlineLvl w:val="1"/>
    </w:pPr>
    <w:rPr>
      <w:rFonts w:ascii="Arial" w:hAnsi="Arial"/>
      <w:b/>
      <w:bCs/>
    </w:rPr>
  </w:style>
  <w:style w:type="paragraph" w:styleId="Heading3">
    <w:name w:val="heading 3"/>
    <w:basedOn w:val="Normal"/>
    <w:link w:val="Heading3Char"/>
    <w:qFormat/>
    <w:rsid w:val="004504EA"/>
    <w:pPr>
      <w:numPr>
        <w:numId w:val="1"/>
      </w:numPr>
      <w:spacing w:before="240"/>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04EA"/>
    <w:rPr>
      <w:rFonts w:ascii="Arial" w:eastAsia="Times New Roman" w:hAnsi="Arial" w:cs="Times New Roman"/>
      <w:b/>
      <w:bCs/>
      <w:caps/>
      <w:sz w:val="24"/>
      <w:szCs w:val="20"/>
      <w:lang w:eastAsia="en-AU"/>
    </w:rPr>
  </w:style>
  <w:style w:type="character" w:customStyle="1" w:styleId="Heading2Char">
    <w:name w:val="Heading 2 Char"/>
    <w:basedOn w:val="DefaultParagraphFont"/>
    <w:link w:val="Heading2"/>
    <w:rsid w:val="004504EA"/>
    <w:rPr>
      <w:rFonts w:ascii="Arial" w:eastAsia="Times New Roman" w:hAnsi="Arial" w:cs="Times New Roman"/>
      <w:b/>
      <w:bCs/>
      <w:sz w:val="24"/>
      <w:szCs w:val="20"/>
      <w:lang w:eastAsia="en-AU"/>
    </w:rPr>
  </w:style>
  <w:style w:type="character" w:customStyle="1" w:styleId="Heading3Char">
    <w:name w:val="Heading 3 Char"/>
    <w:basedOn w:val="DefaultParagraphFont"/>
    <w:link w:val="Heading3"/>
    <w:rsid w:val="004504EA"/>
    <w:rPr>
      <w:rFonts w:ascii="Times New Roman" w:eastAsia="Times New Roman" w:hAnsi="Times New Roman" w:cs="Times New Roman"/>
      <w:b/>
      <w:sz w:val="24"/>
      <w:szCs w:val="20"/>
      <w:lang w:eastAsia="en-AU"/>
    </w:rPr>
  </w:style>
  <w:style w:type="paragraph" w:customStyle="1" w:styleId="ActTitle">
    <w:name w:val="Act Title"/>
    <w:basedOn w:val="Normal"/>
    <w:rsid w:val="004504EA"/>
    <w:pPr>
      <w:jc w:val="center"/>
    </w:pPr>
    <w:rPr>
      <w:rFonts w:ascii="Arial" w:hAnsi="Arial"/>
      <w:i/>
      <w:iCs/>
    </w:rPr>
  </w:style>
  <w:style w:type="paragraph" w:customStyle="1" w:styleId="Instructions">
    <w:name w:val="Instructions"/>
    <w:basedOn w:val="Normal"/>
    <w:link w:val="InstructionsChar"/>
    <w:rsid w:val="004504EA"/>
    <w:rPr>
      <w:rFonts w:ascii="Arial" w:hAnsi="Arial" w:cs="Arial"/>
      <w:i/>
      <w:color w:val="0000FF"/>
      <w:sz w:val="20"/>
    </w:rPr>
  </w:style>
  <w:style w:type="character" w:customStyle="1" w:styleId="InstructionsChar">
    <w:name w:val="Instructions Char"/>
    <w:link w:val="Instructions"/>
    <w:rsid w:val="004504EA"/>
    <w:rPr>
      <w:rFonts w:ascii="Arial" w:eastAsia="Times New Roman" w:hAnsi="Arial" w:cs="Arial"/>
      <w:i/>
      <w:color w:val="0000FF"/>
      <w:sz w:val="20"/>
      <w:szCs w:val="20"/>
      <w:lang w:eastAsia="en-AU"/>
    </w:rPr>
  </w:style>
  <w:style w:type="paragraph" w:customStyle="1" w:styleId="StrategicAssessmentText">
    <w:name w:val="Strategic Assessment Text"/>
    <w:basedOn w:val="Normal"/>
    <w:rsid w:val="004504EA"/>
    <w:pPr>
      <w:ind w:left="284"/>
    </w:pPr>
  </w:style>
  <w:style w:type="character" w:styleId="Hyperlink">
    <w:name w:val="Hyperlink"/>
    <w:rsid w:val="004504EA"/>
    <w:rPr>
      <w:color w:val="0000FF"/>
      <w:u w:val="single"/>
    </w:rPr>
  </w:style>
  <w:style w:type="paragraph" w:styleId="List2">
    <w:name w:val="List 2"/>
    <w:basedOn w:val="Normal"/>
    <w:rsid w:val="004504EA"/>
    <w:pPr>
      <w:numPr>
        <w:ilvl w:val="1"/>
        <w:numId w:val="1"/>
      </w:numPr>
    </w:pPr>
  </w:style>
  <w:style w:type="paragraph" w:styleId="ListParagraph">
    <w:name w:val="List Paragraph"/>
    <w:basedOn w:val="Normal"/>
    <w:link w:val="ListParagraphChar"/>
    <w:uiPriority w:val="34"/>
    <w:qFormat/>
    <w:rsid w:val="004504EA"/>
    <w:pPr>
      <w:ind w:left="720"/>
      <w:contextualSpacing/>
    </w:pPr>
  </w:style>
  <w:style w:type="character" w:customStyle="1" w:styleId="ListParagraphChar">
    <w:name w:val="List Paragraph Char"/>
    <w:link w:val="ListParagraph"/>
    <w:uiPriority w:val="34"/>
    <w:locked/>
    <w:rsid w:val="004504EA"/>
    <w:rPr>
      <w:rFonts w:ascii="Times" w:eastAsia="Times New Roman" w:hAnsi="Times" w:cs="Times New Roman"/>
      <w:sz w:val="24"/>
      <w:szCs w:val="20"/>
      <w:lang w:eastAsia="en-AU"/>
    </w:rPr>
  </w:style>
  <w:style w:type="paragraph" w:styleId="BalloonText">
    <w:name w:val="Balloon Text"/>
    <w:basedOn w:val="Normal"/>
    <w:link w:val="BalloonTextChar"/>
    <w:uiPriority w:val="99"/>
    <w:semiHidden/>
    <w:unhideWhenUsed/>
    <w:rsid w:val="009605A8"/>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A8"/>
    <w:rPr>
      <w:rFonts w:ascii="Segoe UI" w:eastAsia="Times New Roman" w:hAnsi="Segoe UI" w:cs="Segoe UI"/>
      <w:sz w:val="18"/>
      <w:szCs w:val="18"/>
      <w:lang w:eastAsia="en-AU"/>
    </w:rPr>
  </w:style>
  <w:style w:type="paragraph" w:customStyle="1" w:styleId="Tablelabel">
    <w:name w:val="Table label"/>
    <w:basedOn w:val="Normal"/>
    <w:rsid w:val="009605A8"/>
    <w:pPr>
      <w:spacing w:after="80"/>
      <w:ind w:left="113"/>
      <w:jc w:val="left"/>
    </w:pPr>
    <w:rPr>
      <w:rFonts w:ascii="Arial" w:hAnsi="Arial"/>
      <w:b/>
      <w:color w:val="FFFFFF"/>
      <w:sz w:val="18"/>
    </w:rPr>
  </w:style>
  <w:style w:type="paragraph" w:customStyle="1" w:styleId="Tabletext">
    <w:name w:val="Table text"/>
    <w:rsid w:val="009605A8"/>
    <w:pPr>
      <w:spacing w:before="60" w:after="60"/>
      <w:jc w:val="both"/>
    </w:pPr>
    <w:rPr>
      <w:rFonts w:ascii="Arial" w:eastAsia="Times New Roman" w:hAnsi="Arial" w:cs="Times New Roman"/>
      <w:sz w:val="18"/>
      <w:szCs w:val="20"/>
      <w:lang w:eastAsia="en-AU"/>
    </w:rPr>
  </w:style>
  <w:style w:type="paragraph" w:customStyle="1" w:styleId="other">
    <w:name w:val="other"/>
    <w:basedOn w:val="Normal"/>
    <w:rsid w:val="001A0EEF"/>
    <w:pPr>
      <w:spacing w:before="0"/>
      <w:jc w:val="left"/>
    </w:pPr>
    <w:rPr>
      <w:rFonts w:ascii="Times New Roman" w:hAnsi="Times New Roman"/>
      <w:lang w:eastAsia="en-US"/>
    </w:rPr>
  </w:style>
  <w:style w:type="paragraph" w:customStyle="1" w:styleId="NumberedParagraph">
    <w:name w:val="NumberedParagraph"/>
    <w:basedOn w:val="Normal"/>
    <w:autoRedefine/>
    <w:qFormat/>
    <w:rsid w:val="001A0EEF"/>
    <w:pPr>
      <w:numPr>
        <w:numId w:val="8"/>
      </w:numPr>
      <w:tabs>
        <w:tab w:val="left" w:pos="1701"/>
        <w:tab w:val="left" w:pos="2268"/>
        <w:tab w:val="left" w:pos="2835"/>
        <w:tab w:val="left" w:pos="3402"/>
        <w:tab w:val="left" w:pos="3969"/>
        <w:tab w:val="left" w:pos="4536"/>
      </w:tabs>
      <w:spacing w:before="0"/>
      <w:ind w:right="1134" w:hanging="578"/>
    </w:pPr>
    <w:rPr>
      <w:rFonts w:ascii="Calibri" w:hAnsi="Calibri"/>
      <w:noProof/>
      <w:color w:val="000000" w:themeColor="text1"/>
      <w:szCs w:val="24"/>
    </w:rPr>
  </w:style>
  <w:style w:type="paragraph" w:customStyle="1" w:styleId="LetterParagraph">
    <w:name w:val="LetterParagraph"/>
    <w:basedOn w:val="NumberedParagraph"/>
    <w:autoRedefine/>
    <w:qFormat/>
    <w:rsid w:val="001A0EEF"/>
    <w:pPr>
      <w:numPr>
        <w:numId w:val="14"/>
      </w:numPr>
      <w:tabs>
        <w:tab w:val="left" w:pos="1134"/>
      </w:tabs>
      <w:ind w:left="1134" w:hanging="567"/>
    </w:pPr>
  </w:style>
  <w:style w:type="character" w:customStyle="1" w:styleId="Order2Char">
    <w:name w:val="Order 2 Char"/>
    <w:link w:val="Order2"/>
    <w:locked/>
    <w:rsid w:val="001A0EEF"/>
    <w:rPr>
      <w:sz w:val="26"/>
      <w:szCs w:val="26"/>
    </w:rPr>
  </w:style>
  <w:style w:type="paragraph" w:customStyle="1" w:styleId="Order2">
    <w:name w:val="Order 2"/>
    <w:basedOn w:val="Normal"/>
    <w:link w:val="Order2Char"/>
    <w:qFormat/>
    <w:rsid w:val="001A0EEF"/>
    <w:pPr>
      <w:numPr>
        <w:numId w:val="18"/>
      </w:numPr>
      <w:spacing w:before="0" w:after="120" w:line="300" w:lineRule="atLeast"/>
      <w:jc w:val="left"/>
    </w:pPr>
    <w:rPr>
      <w:rFonts w:asciiTheme="minorHAnsi" w:eastAsiaTheme="minorHAnsi" w:hAnsiTheme="minorHAnsi" w:cstheme="minorBidi"/>
      <w:sz w:val="26"/>
      <w:szCs w:val="26"/>
      <w:lang w:eastAsia="en-US"/>
    </w:rPr>
  </w:style>
  <w:style w:type="paragraph" w:customStyle="1" w:styleId="Para4">
    <w:name w:val="Para 4"/>
    <w:basedOn w:val="Normal"/>
    <w:qFormat/>
    <w:rsid w:val="001A0EEF"/>
    <w:pPr>
      <w:numPr>
        <w:ilvl w:val="4"/>
        <w:numId w:val="19"/>
      </w:numPr>
      <w:spacing w:before="0" w:after="120" w:line="300" w:lineRule="atLeast"/>
      <w:jc w:val="left"/>
    </w:pPr>
    <w:rPr>
      <w:rFonts w:ascii="Times New Roman" w:hAnsi="Times New Roman"/>
      <w:sz w:val="26"/>
      <w:szCs w:val="26"/>
      <w:lang w:eastAsia="en-US"/>
    </w:rPr>
  </w:style>
  <w:style w:type="paragraph" w:styleId="Header">
    <w:name w:val="header"/>
    <w:basedOn w:val="Normal"/>
    <w:link w:val="HeaderChar"/>
    <w:uiPriority w:val="99"/>
    <w:unhideWhenUsed/>
    <w:rsid w:val="00352426"/>
    <w:pPr>
      <w:tabs>
        <w:tab w:val="center" w:pos="4513"/>
        <w:tab w:val="right" w:pos="9026"/>
      </w:tabs>
      <w:spacing w:before="0"/>
    </w:pPr>
  </w:style>
  <w:style w:type="character" w:customStyle="1" w:styleId="HeaderChar">
    <w:name w:val="Header Char"/>
    <w:basedOn w:val="DefaultParagraphFont"/>
    <w:link w:val="Header"/>
    <w:uiPriority w:val="99"/>
    <w:rsid w:val="00352426"/>
    <w:rPr>
      <w:rFonts w:ascii="Times" w:eastAsia="Times New Roman" w:hAnsi="Times" w:cs="Times New Roman"/>
      <w:sz w:val="24"/>
      <w:szCs w:val="20"/>
      <w:lang w:eastAsia="en-AU"/>
    </w:rPr>
  </w:style>
  <w:style w:type="paragraph" w:styleId="Footer">
    <w:name w:val="footer"/>
    <w:basedOn w:val="Normal"/>
    <w:link w:val="FooterChar"/>
    <w:uiPriority w:val="99"/>
    <w:unhideWhenUsed/>
    <w:rsid w:val="00352426"/>
    <w:pPr>
      <w:tabs>
        <w:tab w:val="center" w:pos="4513"/>
        <w:tab w:val="right" w:pos="9026"/>
      </w:tabs>
      <w:spacing w:before="0"/>
    </w:pPr>
  </w:style>
  <w:style w:type="character" w:customStyle="1" w:styleId="FooterChar">
    <w:name w:val="Footer Char"/>
    <w:basedOn w:val="DefaultParagraphFont"/>
    <w:link w:val="Footer"/>
    <w:uiPriority w:val="99"/>
    <w:rsid w:val="00352426"/>
    <w:rPr>
      <w:rFonts w:ascii="Times" w:eastAsia="Times New Roman" w:hAnsi="Times" w:cs="Times New Roman"/>
      <w:sz w:val="24"/>
      <w:szCs w:val="20"/>
      <w:lang w:eastAsia="en-AU"/>
    </w:rPr>
  </w:style>
</w:styles>
</file>

<file path=word/webSettings.xml><?xml version="1.0" encoding="utf-8"?>
<w:webSettings xmlns:r="http://schemas.openxmlformats.org/officeDocument/2006/relationships" xmlns:w="http://schemas.openxmlformats.org/wordprocessingml/2006/main">
  <w:divs>
    <w:div w:id="699013652">
      <w:bodyDiv w:val="1"/>
      <w:marLeft w:val="0"/>
      <w:marRight w:val="0"/>
      <w:marTop w:val="0"/>
      <w:marBottom w:val="0"/>
      <w:divBdr>
        <w:top w:val="none" w:sz="0" w:space="0" w:color="auto"/>
        <w:left w:val="none" w:sz="0" w:space="0" w:color="auto"/>
        <w:bottom w:val="none" w:sz="0" w:space="0" w:color="auto"/>
        <w:right w:val="none" w:sz="0" w:space="0" w:color="auto"/>
      </w:divBdr>
    </w:div>
    <w:div w:id="1110508595">
      <w:bodyDiv w:val="1"/>
      <w:marLeft w:val="0"/>
      <w:marRight w:val="0"/>
      <w:marTop w:val="0"/>
      <w:marBottom w:val="0"/>
      <w:divBdr>
        <w:top w:val="none" w:sz="0" w:space="0" w:color="auto"/>
        <w:left w:val="none" w:sz="0" w:space="0" w:color="auto"/>
        <w:bottom w:val="none" w:sz="0" w:space="0" w:color="auto"/>
        <w:right w:val="none" w:sz="0" w:space="0" w:color="auto"/>
      </w:divBdr>
    </w:div>
    <w:div w:id="11478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ash.vic.gov.au" TargetMode="Externa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tpli.vic.gov.au/planning/planning-schemes/changing-the-planning-scheme/planning-documents-on-exhibiti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376AC-C656-4AF2-9C26-F8371401C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1731</Words>
  <Characters>9868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City of Monash</Company>
  <LinksUpToDate>false</LinksUpToDate>
  <CharactersWithSpaces>11576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Exhibition Explanatory Report</dc:title>
  <dc:subject>Amendment C131</dc:subject>
  <dc:creator>SherryH</dc:creator>
  <cp:lastModifiedBy>yvonnes</cp:lastModifiedBy>
  <cp:revision>3</cp:revision>
  <cp:lastPrinted>2018-11-23T05:38:00Z</cp:lastPrinted>
  <dcterms:created xsi:type="dcterms:W3CDTF">2018-12-17T23:21:00Z</dcterms:created>
  <dcterms:modified xsi:type="dcterms:W3CDTF">2018-12-17T23:21:00Z</dcterms:modified>
</cp:coreProperties>
</file>