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BAC" w:rsidRPr="00D660C2" w:rsidRDefault="00F051CF" w:rsidP="00CD5BAC">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D5BAC" w:rsidRPr="00D660C2">
        <w:t>VICTORIAN CIVIL AND ADMINISTRATIVE TRIBUNAL</w:t>
      </w:r>
    </w:p>
    <w:p w:rsidR="00CD5BAC" w:rsidRPr="00D660C2" w:rsidRDefault="00CD5BAC" w:rsidP="00CD5BAC">
      <w:pPr>
        <w:pStyle w:val="TitlePage1"/>
      </w:pPr>
      <w:r w:rsidRPr="00D660C2">
        <w:t>administrative DIVISION</w:t>
      </w:r>
    </w:p>
    <w:tbl>
      <w:tblPr>
        <w:tblW w:w="5000" w:type="pct"/>
        <w:tblLook w:val="0000" w:firstRow="0" w:lastRow="0" w:firstColumn="0" w:lastColumn="0" w:noHBand="0" w:noVBand="0"/>
      </w:tblPr>
      <w:tblGrid>
        <w:gridCol w:w="4494"/>
        <w:gridCol w:w="4011"/>
      </w:tblGrid>
      <w:tr w:rsidR="00CD5BAC" w:rsidRPr="00D660C2" w:rsidTr="004120B0">
        <w:tblPrEx>
          <w:tblCellMar>
            <w:top w:w="0" w:type="dxa"/>
            <w:bottom w:w="0" w:type="dxa"/>
          </w:tblCellMar>
        </w:tblPrEx>
        <w:trPr>
          <w:cantSplit/>
        </w:trPr>
        <w:tc>
          <w:tcPr>
            <w:tcW w:w="2642" w:type="pct"/>
          </w:tcPr>
          <w:p w:rsidR="00CD5BAC" w:rsidRPr="00D660C2" w:rsidRDefault="00CD5BAC" w:rsidP="004120B0">
            <w:pPr>
              <w:pStyle w:val="TitlePage2"/>
            </w:pPr>
            <w:r w:rsidRPr="00D660C2">
              <w:t>planning and environment LIST</w:t>
            </w:r>
          </w:p>
        </w:tc>
        <w:tc>
          <w:tcPr>
            <w:tcW w:w="2358" w:type="pct"/>
          </w:tcPr>
          <w:p w:rsidR="00CD5BAC" w:rsidRDefault="00CD5BAC" w:rsidP="004120B0">
            <w:pPr>
              <w:pStyle w:val="TitlePage3"/>
              <w:rPr>
                <w:noProof/>
              </w:rPr>
            </w:pPr>
            <w:r w:rsidRPr="00D660C2">
              <w:t xml:space="preserve">vcat reference No.  </w:t>
            </w:r>
            <w:r w:rsidRPr="00071FE3">
              <w:rPr>
                <w:noProof/>
              </w:rPr>
              <w:t>P</w:t>
            </w:r>
            <w:r w:rsidR="00A26EAC">
              <w:rPr>
                <w:noProof/>
              </w:rPr>
              <w:t>1690</w:t>
            </w:r>
            <w:r w:rsidRPr="00071FE3">
              <w:rPr>
                <w:noProof/>
              </w:rPr>
              <w:t>/201</w:t>
            </w:r>
            <w:r w:rsidR="003F2AA1">
              <w:rPr>
                <w:noProof/>
              </w:rPr>
              <w:t>9</w:t>
            </w:r>
          </w:p>
          <w:p w:rsidR="00CD5BAC" w:rsidRPr="00D660C2" w:rsidRDefault="00CD5BAC" w:rsidP="004120B0">
            <w:pPr>
              <w:pStyle w:val="TitlePage3"/>
            </w:pPr>
            <w:r>
              <w:rPr>
                <w:noProof/>
              </w:rPr>
              <w:t xml:space="preserve">Permit APPLication No. </w:t>
            </w:r>
            <w:r w:rsidR="00A26EAC">
              <w:rPr>
                <w:noProof/>
              </w:rPr>
              <w:t>TPA50335</w:t>
            </w:r>
          </w:p>
          <w:p w:rsidR="00CD5BAC" w:rsidRPr="00D660C2" w:rsidRDefault="00CD5BAC" w:rsidP="004120B0">
            <w:pPr>
              <w:pStyle w:val="TitlePage3"/>
            </w:pPr>
          </w:p>
        </w:tc>
      </w:tr>
    </w:tbl>
    <w:p w:rsidR="00CD5BAC" w:rsidRPr="00D660C2" w:rsidRDefault="00CD5BAC" w:rsidP="00CD5BAC"/>
    <w:tbl>
      <w:tblPr>
        <w:tblW w:w="5000" w:type="pct"/>
        <w:tblLook w:val="0000" w:firstRow="0" w:lastRow="0" w:firstColumn="0" w:lastColumn="0" w:noHBand="0" w:noVBand="0"/>
      </w:tblPr>
      <w:tblGrid>
        <w:gridCol w:w="3441"/>
        <w:gridCol w:w="5064"/>
      </w:tblGrid>
      <w:tr w:rsidR="00CD5BAC" w:rsidRPr="00D660C2" w:rsidTr="004120B0">
        <w:tblPrEx>
          <w:tblCellMar>
            <w:top w:w="0" w:type="dxa"/>
            <w:bottom w:w="0" w:type="dxa"/>
          </w:tblCellMar>
        </w:tblPrEx>
        <w:tc>
          <w:tcPr>
            <w:tcW w:w="2023" w:type="pct"/>
          </w:tcPr>
          <w:p w:rsidR="00CD5BAC" w:rsidRPr="00D660C2" w:rsidRDefault="00CD5BAC" w:rsidP="004120B0">
            <w:pPr>
              <w:pStyle w:val="TitlePage2"/>
            </w:pPr>
            <w:r w:rsidRPr="00D660C2">
              <w:t>APPLICANT</w:t>
            </w:r>
          </w:p>
        </w:tc>
        <w:tc>
          <w:tcPr>
            <w:tcW w:w="2977" w:type="pct"/>
          </w:tcPr>
          <w:p w:rsidR="00CD5BAC" w:rsidRDefault="00A26EAC" w:rsidP="004120B0">
            <w:pPr>
              <w:pStyle w:val="TitlePagetext"/>
              <w:rPr>
                <w:noProof/>
              </w:rPr>
            </w:pPr>
            <w:r>
              <w:rPr>
                <w:noProof/>
              </w:rPr>
              <w:t>Jacqueline Mederi</w:t>
            </w:r>
          </w:p>
          <w:p w:rsidR="00A26EAC" w:rsidRPr="00D660C2" w:rsidRDefault="00A26EAC" w:rsidP="004120B0">
            <w:pPr>
              <w:pStyle w:val="TitlePagetext"/>
            </w:pPr>
            <w:r>
              <w:t>Riccardo Santomaggio</w:t>
            </w:r>
          </w:p>
        </w:tc>
      </w:tr>
      <w:tr w:rsidR="00CD5BAC" w:rsidRPr="00D660C2" w:rsidTr="004120B0">
        <w:tblPrEx>
          <w:tblCellMar>
            <w:top w:w="0" w:type="dxa"/>
            <w:bottom w:w="0" w:type="dxa"/>
          </w:tblCellMar>
        </w:tblPrEx>
        <w:tc>
          <w:tcPr>
            <w:tcW w:w="2023" w:type="pct"/>
          </w:tcPr>
          <w:p w:rsidR="00CD5BAC" w:rsidRPr="00D660C2" w:rsidRDefault="00CD5BAC" w:rsidP="004120B0">
            <w:pPr>
              <w:pStyle w:val="TitlePage2"/>
            </w:pPr>
            <w:r w:rsidRPr="00D660C2">
              <w:t>responsible authority</w:t>
            </w:r>
          </w:p>
        </w:tc>
        <w:tc>
          <w:tcPr>
            <w:tcW w:w="2977" w:type="pct"/>
          </w:tcPr>
          <w:p w:rsidR="00CD5BAC" w:rsidRPr="00D660C2" w:rsidRDefault="003F2AA1" w:rsidP="004120B0">
            <w:pPr>
              <w:pStyle w:val="TitlePagetext"/>
            </w:pPr>
            <w:r>
              <w:rPr>
                <w:noProof/>
              </w:rPr>
              <w:t>M</w:t>
            </w:r>
            <w:r w:rsidR="00A26EAC">
              <w:rPr>
                <w:noProof/>
              </w:rPr>
              <w:t>onash</w:t>
            </w:r>
            <w:r>
              <w:rPr>
                <w:noProof/>
              </w:rPr>
              <w:t xml:space="preserve"> </w:t>
            </w:r>
            <w:r w:rsidR="00CD5BAC" w:rsidRPr="00071FE3">
              <w:rPr>
                <w:noProof/>
              </w:rPr>
              <w:t>City Council</w:t>
            </w:r>
          </w:p>
        </w:tc>
      </w:tr>
      <w:tr w:rsidR="00CD5BAC" w:rsidRPr="00D660C2" w:rsidTr="004120B0">
        <w:tblPrEx>
          <w:tblCellMar>
            <w:top w:w="0" w:type="dxa"/>
            <w:bottom w:w="0" w:type="dxa"/>
          </w:tblCellMar>
        </w:tblPrEx>
        <w:tc>
          <w:tcPr>
            <w:tcW w:w="2023" w:type="pct"/>
          </w:tcPr>
          <w:p w:rsidR="00CD5BAC" w:rsidRPr="00D660C2" w:rsidRDefault="00CD5BAC" w:rsidP="004120B0">
            <w:pPr>
              <w:pStyle w:val="TitlePage2"/>
            </w:pPr>
            <w:r w:rsidRPr="00D660C2">
              <w:t>SUBJECT LAND</w:t>
            </w:r>
          </w:p>
        </w:tc>
        <w:tc>
          <w:tcPr>
            <w:tcW w:w="2977" w:type="pct"/>
          </w:tcPr>
          <w:p w:rsidR="00A26EAC" w:rsidRDefault="00A26EAC" w:rsidP="004120B0">
            <w:pPr>
              <w:pStyle w:val="TitlePagetext"/>
              <w:rPr>
                <w:noProof/>
              </w:rPr>
            </w:pPr>
            <w:r>
              <w:rPr>
                <w:noProof/>
              </w:rPr>
              <w:t>1/40 Hourigan Avenue</w:t>
            </w:r>
          </w:p>
          <w:p w:rsidR="00CD5BAC" w:rsidRPr="00D660C2" w:rsidRDefault="00A26EAC" w:rsidP="004120B0">
            <w:pPr>
              <w:pStyle w:val="TitlePagetext"/>
            </w:pPr>
            <w:r>
              <w:rPr>
                <w:noProof/>
              </w:rPr>
              <w:t>CLAYTON</w:t>
            </w:r>
            <w:r w:rsidR="00CD5BAC" w:rsidRPr="00071FE3">
              <w:rPr>
                <w:noProof/>
              </w:rPr>
              <w:t xml:space="preserve">  VIC  </w:t>
            </w:r>
            <w:r>
              <w:rPr>
                <w:noProof/>
              </w:rPr>
              <w:t>3168</w:t>
            </w:r>
          </w:p>
        </w:tc>
      </w:tr>
      <w:tr w:rsidR="00CD5BAC" w:rsidRPr="00D660C2" w:rsidTr="004120B0">
        <w:tblPrEx>
          <w:tblCellMar>
            <w:top w:w="0" w:type="dxa"/>
            <w:bottom w:w="0" w:type="dxa"/>
          </w:tblCellMar>
        </w:tblPrEx>
        <w:tc>
          <w:tcPr>
            <w:tcW w:w="2023" w:type="pct"/>
          </w:tcPr>
          <w:p w:rsidR="00CD5BAC" w:rsidRPr="00D660C2" w:rsidRDefault="00CD5BAC" w:rsidP="004120B0">
            <w:pPr>
              <w:pStyle w:val="TitlePage2"/>
            </w:pPr>
            <w:r w:rsidRPr="00D660C2">
              <w:t>WHERE HELD</w:t>
            </w:r>
          </w:p>
        </w:tc>
        <w:tc>
          <w:tcPr>
            <w:tcW w:w="2977" w:type="pct"/>
          </w:tcPr>
          <w:p w:rsidR="00CD5BAC" w:rsidRPr="00D660C2" w:rsidRDefault="00CD5BAC" w:rsidP="004120B0">
            <w:pPr>
              <w:pStyle w:val="TitlePagetext"/>
            </w:pPr>
            <w:r w:rsidRPr="00D660C2">
              <w:t>Melbourne</w:t>
            </w:r>
          </w:p>
        </w:tc>
      </w:tr>
      <w:tr w:rsidR="00CD5BAC" w:rsidRPr="00D660C2" w:rsidTr="004120B0">
        <w:tblPrEx>
          <w:tblCellMar>
            <w:top w:w="0" w:type="dxa"/>
            <w:bottom w:w="0" w:type="dxa"/>
          </w:tblCellMar>
        </w:tblPrEx>
        <w:tc>
          <w:tcPr>
            <w:tcW w:w="2023" w:type="pct"/>
          </w:tcPr>
          <w:p w:rsidR="00CD5BAC" w:rsidRPr="00D660C2" w:rsidRDefault="00CD5BAC" w:rsidP="004120B0">
            <w:pPr>
              <w:pStyle w:val="TitlePage2"/>
            </w:pPr>
            <w:r w:rsidRPr="00D660C2">
              <w:t>BEFORE</w:t>
            </w:r>
          </w:p>
        </w:tc>
        <w:tc>
          <w:tcPr>
            <w:tcW w:w="2977" w:type="pct"/>
          </w:tcPr>
          <w:p w:rsidR="00CD5BAC" w:rsidRPr="00D660C2" w:rsidRDefault="00CD5BAC" w:rsidP="004120B0">
            <w:pPr>
              <w:pStyle w:val="TitlePagetext"/>
            </w:pPr>
            <w:r>
              <w:t>Megan Carew</w:t>
            </w:r>
            <w:r w:rsidRPr="00D660C2">
              <w:t>, Member</w:t>
            </w:r>
          </w:p>
        </w:tc>
      </w:tr>
      <w:tr w:rsidR="00CD5BAC" w:rsidRPr="00D660C2" w:rsidTr="004120B0">
        <w:tblPrEx>
          <w:tblCellMar>
            <w:top w:w="0" w:type="dxa"/>
            <w:bottom w:w="0" w:type="dxa"/>
          </w:tblCellMar>
        </w:tblPrEx>
        <w:tc>
          <w:tcPr>
            <w:tcW w:w="2023" w:type="pct"/>
          </w:tcPr>
          <w:p w:rsidR="00CD5BAC" w:rsidRPr="00D660C2" w:rsidRDefault="00CD5BAC" w:rsidP="004120B0">
            <w:pPr>
              <w:pStyle w:val="TitlePage2"/>
            </w:pPr>
            <w:r w:rsidRPr="00D660C2">
              <w:t>HEARING TYPE</w:t>
            </w:r>
          </w:p>
        </w:tc>
        <w:tc>
          <w:tcPr>
            <w:tcW w:w="2977" w:type="pct"/>
          </w:tcPr>
          <w:p w:rsidR="00CD5BAC" w:rsidRPr="00D660C2" w:rsidRDefault="00CD5BAC" w:rsidP="004120B0">
            <w:pPr>
              <w:pStyle w:val="TitlePagetext"/>
            </w:pPr>
            <w:r>
              <w:t>H</w:t>
            </w:r>
            <w:r w:rsidRPr="00D660C2">
              <w:t>earing</w:t>
            </w:r>
          </w:p>
        </w:tc>
      </w:tr>
      <w:tr w:rsidR="009C45DA">
        <w:tblPrEx>
          <w:tblCellMar>
            <w:top w:w="0" w:type="dxa"/>
            <w:bottom w:w="0" w:type="dxa"/>
          </w:tblCellMar>
        </w:tblPrEx>
        <w:tc>
          <w:tcPr>
            <w:tcW w:w="2023" w:type="pct"/>
          </w:tcPr>
          <w:p w:rsidR="009C45DA" w:rsidRDefault="009C45DA">
            <w:pPr>
              <w:pStyle w:val="TitlePage2"/>
            </w:pPr>
            <w:r>
              <w:t>DATE OF HEARING</w:t>
            </w:r>
          </w:p>
        </w:tc>
        <w:tc>
          <w:tcPr>
            <w:tcW w:w="2977" w:type="pct"/>
          </w:tcPr>
          <w:p w:rsidR="009C45DA" w:rsidRDefault="00A26EAC" w:rsidP="00A172FB">
            <w:pPr>
              <w:pStyle w:val="TitlePagetext"/>
            </w:pPr>
            <w:bookmarkStart w:id="1" w:name="HearingDate"/>
            <w:bookmarkEnd w:id="1"/>
            <w:r>
              <w:t>11 December</w:t>
            </w:r>
            <w:r w:rsidR="003F2AA1">
              <w:t xml:space="preserve"> 2019</w:t>
            </w:r>
          </w:p>
        </w:tc>
      </w:tr>
      <w:tr w:rsidR="009C45DA">
        <w:tblPrEx>
          <w:tblCellMar>
            <w:top w:w="0" w:type="dxa"/>
            <w:bottom w:w="0" w:type="dxa"/>
          </w:tblCellMar>
        </w:tblPrEx>
        <w:tc>
          <w:tcPr>
            <w:tcW w:w="2023" w:type="pct"/>
          </w:tcPr>
          <w:p w:rsidR="009C45DA" w:rsidRDefault="009C45DA">
            <w:pPr>
              <w:pStyle w:val="TitlePage2"/>
            </w:pPr>
            <w:r>
              <w:t>DATE OF ORDER</w:t>
            </w:r>
          </w:p>
        </w:tc>
        <w:tc>
          <w:tcPr>
            <w:tcW w:w="2977" w:type="pct"/>
          </w:tcPr>
          <w:p w:rsidR="009C45DA" w:rsidRDefault="00A26EAC">
            <w:pPr>
              <w:pStyle w:val="TitlePagetext"/>
            </w:pPr>
            <w:bookmarkStart w:id="2" w:name="DateOrder"/>
            <w:bookmarkEnd w:id="2"/>
            <w:r>
              <w:t>1</w:t>
            </w:r>
            <w:r w:rsidR="003275E4">
              <w:t>3</w:t>
            </w:r>
            <w:r>
              <w:t xml:space="preserve"> December</w:t>
            </w:r>
            <w:r w:rsidR="003F2AA1">
              <w:t xml:space="preserve"> 2019</w:t>
            </w:r>
          </w:p>
        </w:tc>
      </w:tr>
    </w:tbl>
    <w:p w:rsidR="009C45DA" w:rsidRDefault="009C45DA">
      <w:pPr>
        <w:pStyle w:val="Heading1"/>
      </w:pPr>
      <w:r>
        <w:t>Order</w:t>
      </w:r>
    </w:p>
    <w:p w:rsidR="00A172FB" w:rsidRPr="00465F2B" w:rsidRDefault="00FF7B42" w:rsidP="00A172FB">
      <w:pPr>
        <w:pStyle w:val="Order2"/>
      </w:pPr>
      <w:r w:rsidRPr="00D84FD8">
        <w:rPr>
          <w:lang w:val="en-GB"/>
        </w:rPr>
        <w:t xml:space="preserve">Pursuant to Clause 64 of Schedule 1 of the </w:t>
      </w:r>
      <w:r w:rsidRPr="00D84FD8">
        <w:rPr>
          <w:i/>
          <w:lang w:val="en-GB"/>
        </w:rPr>
        <w:t xml:space="preserve">Victorian Civil &amp; Administrative Tribunal Act </w:t>
      </w:r>
      <w:r w:rsidRPr="00770B91">
        <w:t xml:space="preserve">1998, the application </w:t>
      </w:r>
      <w:r>
        <w:t xml:space="preserve">for review </w:t>
      </w:r>
      <w:r w:rsidRPr="00770B91">
        <w:t>is amended</w:t>
      </w:r>
      <w:r>
        <w:t xml:space="preserve"> to include condition 1c)</w:t>
      </w:r>
      <w:r w:rsidR="00A172FB" w:rsidRPr="00465F2B">
        <w:t xml:space="preserve">.  </w:t>
      </w:r>
    </w:p>
    <w:p w:rsidR="003F2AA1" w:rsidRPr="00FF7B42" w:rsidRDefault="003F2AA1" w:rsidP="000964A8">
      <w:pPr>
        <w:pStyle w:val="Order2"/>
      </w:pPr>
      <w:r w:rsidRPr="00FF7B42">
        <w:t xml:space="preserve">The Tribunal directs that planning permit </w:t>
      </w:r>
      <w:r w:rsidR="00A26EAC" w:rsidRPr="00FF7B42">
        <w:rPr>
          <w:noProof/>
        </w:rPr>
        <w:t>TPA50335</w:t>
      </w:r>
      <w:r w:rsidRPr="00FF7B42">
        <w:t xml:space="preserve">must contain the conditions set out in planning permit </w:t>
      </w:r>
      <w:r w:rsidR="00A26EAC" w:rsidRPr="00FF7B42">
        <w:rPr>
          <w:noProof/>
        </w:rPr>
        <w:t xml:space="preserve">TPA50335 </w:t>
      </w:r>
      <w:r w:rsidRPr="00FF7B42">
        <w:t xml:space="preserve">issued by the responsible authority on </w:t>
      </w:r>
      <w:r w:rsidR="00A26EAC" w:rsidRPr="00FF7B42">
        <w:t>1 July 2019</w:t>
      </w:r>
      <w:r w:rsidR="000964A8" w:rsidRPr="00FF7B42">
        <w:t xml:space="preserve"> </w:t>
      </w:r>
      <w:r w:rsidRPr="00FF7B42">
        <w:t>with the following modifications:</w:t>
      </w:r>
    </w:p>
    <w:p w:rsidR="003F2AA1" w:rsidRPr="00FF7B42" w:rsidRDefault="00FF7B42" w:rsidP="003F2AA1">
      <w:pPr>
        <w:pStyle w:val="Order2"/>
        <w:numPr>
          <w:ilvl w:val="1"/>
          <w:numId w:val="7"/>
        </w:numPr>
        <w:tabs>
          <w:tab w:val="clear" w:pos="1134"/>
        </w:tabs>
      </w:pPr>
      <w:r w:rsidRPr="00FF7B42">
        <w:t>Condition 1b) is amended to read:</w:t>
      </w:r>
    </w:p>
    <w:p w:rsidR="00FF7B42" w:rsidRPr="00FF7B42" w:rsidRDefault="00FF7B42" w:rsidP="00A11768">
      <w:pPr>
        <w:pStyle w:val="Quote2"/>
      </w:pPr>
      <w:r w:rsidRPr="00FF7B42">
        <w:t xml:space="preserve">1b) </w:t>
      </w:r>
      <w:r w:rsidR="00A11768">
        <w:tab/>
      </w:r>
      <w:r w:rsidRPr="00FF7B42">
        <w:t xml:space="preserve">Remove the roof sheeting from the verandah over the </w:t>
      </w:r>
      <w:r w:rsidR="00A11768">
        <w:t xml:space="preserve">eastern side of the </w:t>
      </w:r>
      <w:r w:rsidRPr="00FF7B42">
        <w:t xml:space="preserve">rear private open space </w:t>
      </w:r>
      <w:r w:rsidR="00A11768">
        <w:t xml:space="preserve">from the eastern boundary </w:t>
      </w:r>
      <w:r w:rsidRPr="00FF7B42">
        <w:t xml:space="preserve">to the second north-south </w:t>
      </w:r>
      <w:r w:rsidR="003275E4">
        <w:t xml:space="preserve">aligned </w:t>
      </w:r>
      <w:r w:rsidRPr="00FF7B42">
        <w:t>rafter/beam.</w:t>
      </w:r>
    </w:p>
    <w:p w:rsidR="00FF7B42" w:rsidRPr="00FF7B42" w:rsidRDefault="00FF7B42" w:rsidP="003F2AA1">
      <w:pPr>
        <w:pStyle w:val="Order2"/>
        <w:numPr>
          <w:ilvl w:val="1"/>
          <w:numId w:val="7"/>
        </w:numPr>
        <w:tabs>
          <w:tab w:val="clear" w:pos="1134"/>
        </w:tabs>
      </w:pPr>
      <w:r w:rsidRPr="00FF7B42">
        <w:t>Condition 1c) is amended to read:</w:t>
      </w:r>
    </w:p>
    <w:p w:rsidR="00FF7B42" w:rsidRPr="00FF7B42" w:rsidRDefault="00FF7B42" w:rsidP="00FF7B42">
      <w:pPr>
        <w:pStyle w:val="Quote2"/>
      </w:pPr>
      <w:r w:rsidRPr="00FF7B42">
        <w:t xml:space="preserve">1c) </w:t>
      </w:r>
      <w:r w:rsidRPr="00FF7B42">
        <w:tab/>
        <w:t>Provide a minimu</w:t>
      </w:r>
      <w:r w:rsidR="00A11768">
        <w:t>m 1m wide garden bed (</w:t>
      </w:r>
      <w:r w:rsidRPr="00FF7B42">
        <w:t>or a</w:t>
      </w:r>
      <w:r w:rsidR="00A11768">
        <w:t>lternatively a 1m wide</w:t>
      </w:r>
      <w:r w:rsidRPr="00FF7B42">
        <w:t xml:space="preserve"> planter with a minimum depth of 800mm</w:t>
      </w:r>
      <w:r w:rsidR="00A11768">
        <w:t xml:space="preserve">) </w:t>
      </w:r>
      <w:r w:rsidRPr="00FF7B42">
        <w:t>along the eastern boundary of the rear private open space</w:t>
      </w:r>
      <w:r w:rsidR="00A11768">
        <w:t>. The garden bed or planter can commence</w:t>
      </w:r>
      <w:r w:rsidRPr="00FF7B42">
        <w:t xml:space="preserve"> 800mm south of the rolle</w:t>
      </w:r>
      <w:r w:rsidR="00A11768">
        <w:t xml:space="preserve">r door to the garage and </w:t>
      </w:r>
      <w:r w:rsidR="003275E4">
        <w:t xml:space="preserve">must </w:t>
      </w:r>
      <w:r w:rsidR="00A11768">
        <w:t>run</w:t>
      </w:r>
      <w:r w:rsidRPr="00FF7B42">
        <w:t xml:space="preserve"> the remaining length of the </w:t>
      </w:r>
      <w:r w:rsidR="00A11768">
        <w:t xml:space="preserve">eastern </w:t>
      </w:r>
      <w:r w:rsidRPr="00FF7B42">
        <w:t xml:space="preserve">boundary. The species of shrubs or tees to be planted in the garden bed or planter </w:t>
      </w:r>
      <w:r w:rsidR="00A11768">
        <w:t xml:space="preserve">and size at planting </w:t>
      </w:r>
      <w:r w:rsidRPr="00FF7B42">
        <w:t>are to be specified on the plan. The species selected must be capable of achieving height above the eastern boundary fence.</w:t>
      </w:r>
    </w:p>
    <w:p w:rsidR="003F2AA1" w:rsidRPr="00FF7B42" w:rsidRDefault="00F051CF" w:rsidP="003F2AA1">
      <w:pPr>
        <w:pStyle w:val="Order2"/>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2AA1" w:rsidRPr="00FF7B42">
        <w:t xml:space="preserve">The responsible authority is directed to issue a modified planning permit in accordance with this order. </w:t>
      </w:r>
    </w:p>
    <w:p w:rsidR="00F67DC3" w:rsidRDefault="00F67DC3"/>
    <w:p w:rsidR="00CA4972" w:rsidRDefault="00CA4972"/>
    <w:p w:rsidR="00CA4972" w:rsidRDefault="00CA4972"/>
    <w:tbl>
      <w:tblPr>
        <w:tblW w:w="5000" w:type="pct"/>
        <w:tblLook w:val="0000" w:firstRow="0" w:lastRow="0" w:firstColumn="0" w:lastColumn="0" w:noHBand="0" w:noVBand="0"/>
      </w:tblPr>
      <w:tblGrid>
        <w:gridCol w:w="2835"/>
        <w:gridCol w:w="2836"/>
        <w:gridCol w:w="2834"/>
      </w:tblGrid>
      <w:tr w:rsidR="009C45DA">
        <w:tblPrEx>
          <w:tblCellMar>
            <w:top w:w="0" w:type="dxa"/>
            <w:bottom w:w="0" w:type="dxa"/>
          </w:tblCellMar>
        </w:tblPrEx>
        <w:tc>
          <w:tcPr>
            <w:tcW w:w="1667" w:type="pct"/>
          </w:tcPr>
          <w:p w:rsidR="00394F81" w:rsidRPr="00F67DC3" w:rsidRDefault="00D72A9F">
            <w:pPr>
              <w:tabs>
                <w:tab w:val="left" w:pos="1515"/>
              </w:tabs>
            </w:pPr>
            <w:r>
              <w:t>Megan Carew</w:t>
            </w:r>
          </w:p>
          <w:p w:rsidR="009C45DA" w:rsidRPr="00F67DC3" w:rsidRDefault="00F67DC3">
            <w:pPr>
              <w:tabs>
                <w:tab w:val="left" w:pos="1515"/>
              </w:tabs>
              <w:rPr>
                <w:b/>
              </w:rPr>
            </w:pPr>
            <w:r w:rsidRPr="00F67DC3">
              <w:rPr>
                <w:b/>
              </w:rPr>
              <w:t>Member</w:t>
            </w:r>
          </w:p>
        </w:tc>
        <w:tc>
          <w:tcPr>
            <w:tcW w:w="1667" w:type="pct"/>
          </w:tcPr>
          <w:p w:rsidR="009C45DA" w:rsidRDefault="009C45DA"/>
        </w:tc>
        <w:tc>
          <w:tcPr>
            <w:tcW w:w="1667" w:type="pct"/>
          </w:tcPr>
          <w:p w:rsidR="00394F81" w:rsidRPr="00394F81" w:rsidRDefault="00394F81">
            <w:pPr>
              <w:rPr>
                <w:b/>
              </w:rPr>
            </w:pPr>
          </w:p>
        </w:tc>
      </w:tr>
    </w:tbl>
    <w:p w:rsidR="00A11768" w:rsidRDefault="00A11768" w:rsidP="00A90032">
      <w:pPr>
        <w:pStyle w:val="Heading1"/>
      </w:pPr>
      <w:bookmarkStart w:id="3" w:name="DELappearances"/>
    </w:p>
    <w:p w:rsidR="009C45DA" w:rsidRDefault="00A11768" w:rsidP="00A11768">
      <w:pPr>
        <w:pStyle w:val="Heading1"/>
      </w:pPr>
      <w:r>
        <w:br w:type="page"/>
      </w:r>
      <w:r w:rsidR="00F051CF">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90032">
        <w:t>APPEARAnces</w:t>
      </w:r>
    </w:p>
    <w:tbl>
      <w:tblPr>
        <w:tblW w:w="5000" w:type="pct"/>
        <w:tblLook w:val="0000" w:firstRow="0" w:lastRow="0" w:firstColumn="0" w:lastColumn="0" w:noHBand="0" w:noVBand="0"/>
      </w:tblPr>
      <w:tblGrid>
        <w:gridCol w:w="3441"/>
        <w:gridCol w:w="5064"/>
      </w:tblGrid>
      <w:tr w:rsidR="009C45DA">
        <w:tblPrEx>
          <w:tblCellMar>
            <w:top w:w="0" w:type="dxa"/>
            <w:bottom w:w="0" w:type="dxa"/>
          </w:tblCellMar>
        </w:tblPrEx>
        <w:trPr>
          <w:cantSplit/>
        </w:trPr>
        <w:tc>
          <w:tcPr>
            <w:tcW w:w="2023" w:type="pct"/>
          </w:tcPr>
          <w:p w:rsidR="003F3016" w:rsidRDefault="009C45DA">
            <w:pPr>
              <w:pStyle w:val="TitlePagetext"/>
            </w:pPr>
            <w:r>
              <w:t>For Applicant</w:t>
            </w:r>
          </w:p>
        </w:tc>
        <w:tc>
          <w:tcPr>
            <w:tcW w:w="2977" w:type="pct"/>
          </w:tcPr>
          <w:p w:rsidR="00D03814" w:rsidRDefault="00FF7B42" w:rsidP="00CA4972">
            <w:pPr>
              <w:pStyle w:val="TitlePagetext"/>
            </w:pPr>
            <w:r>
              <w:t>Mr Riccardo Santomaggio</w:t>
            </w:r>
          </w:p>
          <w:p w:rsidR="00FF7B42" w:rsidRDefault="00FF7B42" w:rsidP="00CA4972">
            <w:pPr>
              <w:pStyle w:val="TitlePagetext"/>
            </w:pPr>
            <w:r>
              <w:t>Ms Jacqueline Mederi</w:t>
            </w:r>
          </w:p>
        </w:tc>
      </w:tr>
      <w:tr w:rsidR="00CD5BAC" w:rsidTr="004120B0">
        <w:tblPrEx>
          <w:tblCellMar>
            <w:top w:w="0" w:type="dxa"/>
            <w:bottom w:w="0" w:type="dxa"/>
          </w:tblCellMar>
        </w:tblPrEx>
        <w:trPr>
          <w:cantSplit/>
        </w:trPr>
        <w:tc>
          <w:tcPr>
            <w:tcW w:w="2023" w:type="pct"/>
          </w:tcPr>
          <w:p w:rsidR="00CD5BAC" w:rsidRDefault="00CD5BAC" w:rsidP="004120B0">
            <w:pPr>
              <w:pStyle w:val="TitlePagetext"/>
            </w:pPr>
            <w:r>
              <w:t>For Responsible Authority</w:t>
            </w:r>
          </w:p>
        </w:tc>
        <w:tc>
          <w:tcPr>
            <w:tcW w:w="2977" w:type="pct"/>
          </w:tcPr>
          <w:p w:rsidR="00CD5BAC" w:rsidRDefault="00FF7B42" w:rsidP="004120B0">
            <w:pPr>
              <w:pStyle w:val="TitlePagetext"/>
            </w:pPr>
            <w:r>
              <w:t>Ms Adrianne Kellock, Town Planning Consultant, Kellock Town Planning</w:t>
            </w:r>
          </w:p>
        </w:tc>
      </w:tr>
      <w:bookmarkEnd w:id="3"/>
    </w:tbl>
    <w:p w:rsidR="009C45DA" w:rsidRDefault="009C45DA"/>
    <w:p w:rsidR="00A90032" w:rsidRDefault="00506B85" w:rsidP="00506B85">
      <w:pPr>
        <w:pStyle w:val="Heading1"/>
      </w:pPr>
      <w:r>
        <w:t>INFORMATION</w:t>
      </w:r>
    </w:p>
    <w:tbl>
      <w:tblPr>
        <w:tblW w:w="5000" w:type="pct"/>
        <w:tblLook w:val="0000" w:firstRow="0" w:lastRow="0" w:firstColumn="0" w:lastColumn="0" w:noHBand="0" w:noVBand="0"/>
      </w:tblPr>
      <w:tblGrid>
        <w:gridCol w:w="3441"/>
        <w:gridCol w:w="5064"/>
      </w:tblGrid>
      <w:tr w:rsidR="000D53B2" w:rsidTr="005D2E29">
        <w:tblPrEx>
          <w:tblCellMar>
            <w:top w:w="0" w:type="dxa"/>
            <w:bottom w:w="0" w:type="dxa"/>
          </w:tblCellMar>
        </w:tblPrEx>
        <w:trPr>
          <w:cantSplit/>
        </w:trPr>
        <w:tc>
          <w:tcPr>
            <w:tcW w:w="2023" w:type="pct"/>
          </w:tcPr>
          <w:p w:rsidR="000D53B2" w:rsidRDefault="000D53B2" w:rsidP="005D2E29">
            <w:pPr>
              <w:pStyle w:val="TitlePagetext"/>
            </w:pPr>
            <w:r>
              <w:t>Descri</w:t>
            </w:r>
            <w:r w:rsidR="00D1534A">
              <w:t>ption of Proposal</w:t>
            </w:r>
          </w:p>
        </w:tc>
        <w:tc>
          <w:tcPr>
            <w:tcW w:w="2977" w:type="pct"/>
          </w:tcPr>
          <w:p w:rsidR="000D53B2" w:rsidRDefault="003F2AA1" w:rsidP="00A172FB">
            <w:pPr>
              <w:pStyle w:val="TitlePagetext"/>
            </w:pPr>
            <w:r>
              <w:t xml:space="preserve">To construct </w:t>
            </w:r>
            <w:r w:rsidR="00A26EAC">
              <w:t>a carport in front of the existing garage and a verandah over the rear open space of a dwelling on a lot less than 300m</w:t>
            </w:r>
            <w:r w:rsidR="00A26EAC" w:rsidRPr="00A26EAC">
              <w:rPr>
                <w:vertAlign w:val="superscript"/>
              </w:rPr>
              <w:t>2</w:t>
            </w:r>
            <w:r w:rsidR="00A26EAC">
              <w:t>.</w:t>
            </w:r>
          </w:p>
        </w:tc>
      </w:tr>
      <w:tr w:rsidR="00506B85" w:rsidTr="005D2E29">
        <w:tblPrEx>
          <w:tblCellMar>
            <w:top w:w="0" w:type="dxa"/>
            <w:bottom w:w="0" w:type="dxa"/>
          </w:tblCellMar>
        </w:tblPrEx>
        <w:trPr>
          <w:cantSplit/>
        </w:trPr>
        <w:tc>
          <w:tcPr>
            <w:tcW w:w="2023" w:type="pct"/>
          </w:tcPr>
          <w:p w:rsidR="00D1534A" w:rsidRDefault="00506B85" w:rsidP="005D2E29">
            <w:pPr>
              <w:pStyle w:val="TitlePagetext"/>
            </w:pPr>
            <w:r>
              <w:t>Nature of Application</w:t>
            </w:r>
          </w:p>
        </w:tc>
        <w:tc>
          <w:tcPr>
            <w:tcW w:w="2977" w:type="pct"/>
          </w:tcPr>
          <w:p w:rsidR="00506B85" w:rsidRPr="00465F2B" w:rsidRDefault="00465F2B" w:rsidP="00506B85">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bl>
    <w:p w:rsidR="000B3F66" w:rsidRDefault="000B3F66">
      <w:pPr>
        <w:pStyle w:val="Heading1"/>
      </w:pPr>
    </w:p>
    <w:p w:rsidR="009C45DA" w:rsidRDefault="009C45DA">
      <w:pPr>
        <w:pStyle w:val="Heading1"/>
      </w:pPr>
      <w:r>
        <w:t>Re</w:t>
      </w:r>
      <w:r w:rsidR="00CA4972">
        <w:t>ASONS</w:t>
      </w:r>
    </w:p>
    <w:p w:rsidR="00CA4972" w:rsidRDefault="00ED2084" w:rsidP="008643BB">
      <w:pPr>
        <w:pStyle w:val="Para1"/>
      </w:pPr>
      <w:r>
        <w:tab/>
      </w:r>
      <w:r w:rsidR="008643BB">
        <w:t xml:space="preserve">The applicant seeks a review of Conditions 1a)- 1c) of the permit. </w:t>
      </w:r>
      <w:r w:rsidR="000B3F66">
        <w:t>Reasons for this decision were given orally a</w:t>
      </w:r>
      <w:r w:rsidR="00CA4972">
        <w:t>t the conclusion of the hearing</w:t>
      </w:r>
      <w:r w:rsidR="00B7704D">
        <w:t xml:space="preserve"> and are </w:t>
      </w:r>
      <w:r w:rsidR="00FF7B42">
        <w:t xml:space="preserve">summarised </w:t>
      </w:r>
      <w:r w:rsidR="00B7704D">
        <w:t>below</w:t>
      </w:r>
      <w:r w:rsidR="00CA4972">
        <w:t>.</w:t>
      </w:r>
    </w:p>
    <w:p w:rsidR="003275E4" w:rsidRDefault="00FF7B42" w:rsidP="00CA4972">
      <w:pPr>
        <w:pStyle w:val="Para1"/>
      </w:pPr>
      <w:r>
        <w:t xml:space="preserve">The applicant for review is no longer contesting the retention of Condition 1a) of the permit that requires the deletion of the carport within the front setback. </w:t>
      </w:r>
    </w:p>
    <w:p w:rsidR="00FF7B42" w:rsidRDefault="00FF7B42" w:rsidP="003275E4">
      <w:pPr>
        <w:pStyle w:val="Para1"/>
      </w:pPr>
      <w:r>
        <w:t xml:space="preserve">The planning scheme clearly sets out at Clause 22.01 that carports in the front setback are not supported. Even in a Residential Growth Zone and an area where change is </w:t>
      </w:r>
      <w:r w:rsidR="00CE355A">
        <w:t>anticipated, the front setbacks remain important to the preferred neighbourhood character specified in the planning scheme. The</w:t>
      </w:r>
      <w:r w:rsidR="008643BB">
        <w:t xml:space="preserve"> schedule to the zone </w:t>
      </w:r>
      <w:r w:rsidR="00CE355A">
        <w:t>varies the front setback standards, but still seeks a 4m front setback.</w:t>
      </w:r>
    </w:p>
    <w:p w:rsidR="008643BB" w:rsidRDefault="008643BB" w:rsidP="00CA4972">
      <w:pPr>
        <w:pStyle w:val="Para1"/>
      </w:pPr>
      <w:r>
        <w:t>Whilst car spaces within the front setback are not uncommon, structures are not encouraged by the planning scheme. There are no other intrusions in this street at present.</w:t>
      </w:r>
    </w:p>
    <w:p w:rsidR="008643BB" w:rsidRDefault="008643BB" w:rsidP="00CA4972">
      <w:pPr>
        <w:pStyle w:val="Para1"/>
      </w:pPr>
      <w:r>
        <w:t>I note that the carport dimensions are not compliance with Design Standard 2 of Clause 52.06.</w:t>
      </w:r>
    </w:p>
    <w:p w:rsidR="008643BB" w:rsidRDefault="00E90519" w:rsidP="00CA4972">
      <w:pPr>
        <w:pStyle w:val="Para1"/>
      </w:pPr>
      <w:r>
        <w:t>Conditions 1b) and 1c) when read together seek reduction of the rear verandah to a third of the area and reinstatement of 1m garden beds on the east</w:t>
      </w:r>
      <w:r w:rsidR="003275E4">
        <w:t>ern</w:t>
      </w:r>
      <w:r>
        <w:t xml:space="preserve"> and south</w:t>
      </w:r>
      <w:r w:rsidR="003275E4">
        <w:t>ern</w:t>
      </w:r>
      <w:r>
        <w:t xml:space="preserve"> boundaries. </w:t>
      </w:r>
    </w:p>
    <w:p w:rsidR="00E90519" w:rsidRDefault="00E90519" w:rsidP="00CA4972">
      <w:pPr>
        <w:pStyle w:val="Para1"/>
      </w:pPr>
      <w:r>
        <w:t xml:space="preserve">Council says that the covering of all of the secluded private open space area is not supported by the Neighbourhood Character policy at 22.01 or the provisions of the zone. The zone schedule seeks larger areas of ground level </w:t>
      </w:r>
      <w:r w:rsidR="00F051CF">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secluded private open space that standard (35m</w:t>
      </w:r>
      <w:r w:rsidRPr="00E90519">
        <w:rPr>
          <w:vertAlign w:val="superscript"/>
        </w:rPr>
        <w:t>2</w:t>
      </w:r>
      <w:r>
        <w:t>). The decision guidelines (even in a zone where apartments are encouraged) seek well -</w:t>
      </w:r>
      <w:r w:rsidR="003275E4">
        <w:t>l</w:t>
      </w:r>
      <w:r>
        <w:t>ocated open space to provide for large tree planting and a mixture of indigenous and exotic vegetation in front side and rear setbacks. Council also expressed concerns about the internal amenity of the dwelling and daylight access.</w:t>
      </w:r>
    </w:p>
    <w:p w:rsidR="00E90519" w:rsidRDefault="00E90519" w:rsidP="00CA4972">
      <w:pPr>
        <w:pStyle w:val="Para1"/>
      </w:pPr>
      <w:r>
        <w:t>The proposed verandah does not meet the exemptions at Clause 62.02 as it scales higher than 3m on the plans. In any event, there are existing planning permits and a Section 173 Agreement on the title that may require Council consent for the verandah.</w:t>
      </w:r>
    </w:p>
    <w:p w:rsidR="00E90519" w:rsidRDefault="00E90519" w:rsidP="00E90519">
      <w:pPr>
        <w:pStyle w:val="Para1"/>
      </w:pPr>
      <w:r>
        <w:t>Council seeks the reduction in the extent of the verandah but could not provide a reason for the measure of one third over say one half or two thirds. Council also seeks the provision of garden beds, but fairly indicated that the southern garden bed did not need to extend to the sideway.</w:t>
      </w:r>
      <w:r w:rsidR="006D6CE5">
        <w:t xml:space="preserve"> Council also indicated that it would consider raised planters rather than gardens beds as an option.</w:t>
      </w:r>
    </w:p>
    <w:p w:rsidR="00E90519" w:rsidRDefault="00E90519" w:rsidP="00CA4972">
      <w:pPr>
        <w:pStyle w:val="Para1"/>
      </w:pPr>
      <w:r>
        <w:t xml:space="preserve">The permit applicant did not want to remove the </w:t>
      </w:r>
      <w:r w:rsidR="003275E4">
        <w:t>verandah but</w:t>
      </w:r>
      <w:r>
        <w:t xml:space="preserve"> would consider replacing a section with laser-lite material or alternatively removing some of the roofing</w:t>
      </w:r>
      <w:r w:rsidR="006D6CE5">
        <w:t xml:space="preserve">. </w:t>
      </w:r>
    </w:p>
    <w:p w:rsidR="006D6CE5" w:rsidRDefault="006D6CE5" w:rsidP="006D6CE5">
      <w:pPr>
        <w:pStyle w:val="Para1"/>
      </w:pPr>
      <w:r>
        <w:t xml:space="preserve">The photos of the rear courtyard provided by the Council with the owner’s consent were very helpful. I find that the suggestion to remove the roofing along the eastern boundary to the second rafter/beam (about 1.2m from the eastern boundary) together with a 1m wide planter (minimum 800mm deep) or garden bed would provide sufficient opportunity for planting within the courtyard. Plant species should be selected to grow above the boundary fence. I will provide for access to the rear roller door of the garage. To assist the </w:t>
      </w:r>
      <w:r w:rsidR="003275E4">
        <w:t>parties,</w:t>
      </w:r>
      <w:r>
        <w:t xml:space="preserve"> I have provided a diagram of the changes </w:t>
      </w:r>
      <w:r w:rsidR="00A11768">
        <w:t>in figure 1 below</w:t>
      </w:r>
      <w:r w:rsidR="003275E4">
        <w:t xml:space="preserve"> as discussed at the hearing</w:t>
      </w:r>
      <w:r w:rsidR="00A11768">
        <w:t>.</w:t>
      </w:r>
    </w:p>
    <w:p w:rsidR="00A11768" w:rsidRDefault="00A11768" w:rsidP="00A11768">
      <w:pPr>
        <w:pStyle w:val="Para1"/>
      </w:pPr>
      <w:r>
        <w:t>When balanced against the open space available for this dwelling within the front setback, I find that this will be acceptable and will contribute to the neighbourhood character</w:t>
      </w:r>
      <w:r w:rsidR="003275E4">
        <w:t>. I am also satisfied that internal amenity will be acceptable considering</w:t>
      </w:r>
      <w:r w:rsidR="003275E4">
        <w:t xml:space="preserve"> the laser lite at the western side</w:t>
      </w:r>
      <w:r w:rsidR="003275E4">
        <w:t xml:space="preserve"> of the court yard.</w:t>
      </w:r>
    </w:p>
    <w:p w:rsidR="00A11768" w:rsidRDefault="00A11768" w:rsidP="00A11768">
      <w:pPr>
        <w:pStyle w:val="Para1"/>
      </w:pPr>
      <w:r>
        <w:t>I do not consider it necessary to fully cut back or remove the supporting structure that could remain as a pergola, but this would be subject to building regulations. The current use of the shade cloth is not before me and is a matter for Council.</w:t>
      </w:r>
    </w:p>
    <w:p w:rsidR="00A11768" w:rsidRDefault="00A11768" w:rsidP="00A11768">
      <w:pPr>
        <w:pStyle w:val="Para1"/>
      </w:pPr>
      <w:r>
        <w:t>For these reasons the decision of the responsible authority is varied.</w:t>
      </w:r>
    </w:p>
    <w:p w:rsidR="00A11768" w:rsidRDefault="00A11768" w:rsidP="00A11768">
      <w:pPr>
        <w:pStyle w:val="Para1"/>
        <w:numPr>
          <w:ilvl w:val="0"/>
          <w:numId w:val="0"/>
        </w:numPr>
        <w:ind w:left="567"/>
      </w:pPr>
    </w:p>
    <w:p w:rsidR="00A11768" w:rsidRDefault="00A11768" w:rsidP="00A11768">
      <w:pPr>
        <w:pStyle w:val="Para1"/>
        <w:numPr>
          <w:ilvl w:val="0"/>
          <w:numId w:val="0"/>
        </w:numPr>
        <w:ind w:left="567"/>
        <w:rPr>
          <w:rStyle w:val="Emphasis"/>
        </w:rPr>
      </w:pPr>
    </w:p>
    <w:p w:rsidR="00A11768" w:rsidRPr="00ED2084" w:rsidRDefault="00A11768" w:rsidP="00A11768">
      <w:r>
        <w:t xml:space="preserve">Megan Carew </w:t>
      </w:r>
    </w:p>
    <w:p w:rsidR="00A11768" w:rsidRDefault="00A11768" w:rsidP="00A11768">
      <w:pPr>
        <w:pStyle w:val="Para1"/>
        <w:numPr>
          <w:ilvl w:val="0"/>
          <w:numId w:val="0"/>
        </w:numPr>
        <w:ind w:left="567" w:hanging="567"/>
        <w:rPr>
          <w:rStyle w:val="Emphasis"/>
        </w:rPr>
      </w:pPr>
      <w:r w:rsidRPr="00ED2084">
        <w:rPr>
          <w:b/>
        </w:rPr>
        <w:t>Member</w:t>
      </w:r>
    </w:p>
    <w:p w:rsidR="00A11768" w:rsidRDefault="00A11768" w:rsidP="00A11768">
      <w:pPr>
        <w:pStyle w:val="Para1"/>
        <w:numPr>
          <w:ilvl w:val="0"/>
          <w:numId w:val="0"/>
        </w:numPr>
        <w:ind w:left="567"/>
        <w:rPr>
          <w:rStyle w:val="Emphasis"/>
        </w:rPr>
      </w:pPr>
    </w:p>
    <w:p w:rsidR="00A11768" w:rsidRDefault="00F051CF" w:rsidP="00A11768">
      <w:pPr>
        <w:pStyle w:val="Para1"/>
        <w:numPr>
          <w:ilvl w:val="0"/>
          <w:numId w:val="0"/>
        </w:numPr>
        <w:ind w:left="567"/>
        <w:rPr>
          <w:rStyle w:val="Emphasis"/>
        </w:rPr>
      </w:pPr>
      <w:r>
        <w:rPr>
          <w:i/>
          <w:iCs/>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A11768" w:rsidRDefault="00A11768" w:rsidP="00A11768">
      <w:pPr>
        <w:pStyle w:val="Para1"/>
        <w:numPr>
          <w:ilvl w:val="0"/>
          <w:numId w:val="0"/>
        </w:numPr>
        <w:ind w:left="567"/>
        <w:rPr>
          <w:rStyle w:val="Emphasis"/>
        </w:rPr>
      </w:pPr>
    </w:p>
    <w:p w:rsidR="00A11768" w:rsidRPr="00A11768" w:rsidRDefault="00A11768" w:rsidP="00A11768">
      <w:pPr>
        <w:pStyle w:val="Para1"/>
        <w:numPr>
          <w:ilvl w:val="0"/>
          <w:numId w:val="0"/>
        </w:numPr>
        <w:ind w:left="567"/>
        <w:rPr>
          <w:rStyle w:val="Emphasis"/>
        </w:rPr>
      </w:pPr>
      <w:r w:rsidRPr="00A11768">
        <w:rPr>
          <w:rStyle w:val="Emphasis"/>
        </w:rPr>
        <w:t xml:space="preserve">Figure 1: </w:t>
      </w:r>
      <w:r>
        <w:rPr>
          <w:rStyle w:val="Emphasis"/>
        </w:rPr>
        <w:t xml:space="preserve">Changes to rear courtyard </w:t>
      </w:r>
    </w:p>
    <w:p w:rsidR="00A11768" w:rsidRDefault="00A11768" w:rsidP="00A11768">
      <w:pPr>
        <w:pStyle w:val="Para1"/>
        <w:numPr>
          <w:ilvl w:val="0"/>
          <w:numId w:val="0"/>
        </w:numPr>
        <w:ind w:left="567"/>
      </w:pPr>
    </w:p>
    <w:p w:rsidR="006D6CE5" w:rsidRDefault="00183FDD" w:rsidP="00A11768">
      <w:pPr>
        <w:pStyle w:val="Para1"/>
        <w:numPr>
          <w:ilvl w:val="0"/>
          <w:numId w:val="0"/>
        </w:numPr>
        <w:ind w:left="567"/>
      </w:pPr>
      <w:r w:rsidRPr="006D6CE5">
        <w:rPr>
          <w:noProof/>
        </w:rPr>
        <w:drawing>
          <wp:inline distT="0" distB="0" distL="0" distR="0">
            <wp:extent cx="4808220" cy="445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8220" cy="4453890"/>
                    </a:xfrm>
                    <a:prstGeom prst="rect">
                      <a:avLst/>
                    </a:prstGeom>
                    <a:noFill/>
                    <a:ln>
                      <a:noFill/>
                    </a:ln>
                  </pic:spPr>
                </pic:pic>
              </a:graphicData>
            </a:graphic>
          </wp:inline>
        </w:drawing>
      </w:r>
    </w:p>
    <w:p w:rsidR="006D6CE5" w:rsidRDefault="006D6CE5" w:rsidP="006D6CE5">
      <w:pPr>
        <w:pStyle w:val="Para1"/>
        <w:numPr>
          <w:ilvl w:val="0"/>
          <w:numId w:val="0"/>
        </w:numPr>
        <w:ind w:left="567"/>
      </w:pPr>
    </w:p>
    <w:p w:rsidR="00A172FB" w:rsidRDefault="00A172FB"/>
    <w:p w:rsidR="00A172FB" w:rsidRDefault="00A172FB"/>
    <w:tbl>
      <w:tblPr>
        <w:tblW w:w="3333" w:type="pct"/>
        <w:tblLook w:val="0000" w:firstRow="0" w:lastRow="0" w:firstColumn="0" w:lastColumn="0" w:noHBand="0" w:noVBand="0"/>
      </w:tblPr>
      <w:tblGrid>
        <w:gridCol w:w="2836"/>
        <w:gridCol w:w="2833"/>
      </w:tblGrid>
      <w:tr w:rsidR="00A11768" w:rsidTr="00A11768">
        <w:tblPrEx>
          <w:tblCellMar>
            <w:top w:w="0" w:type="dxa"/>
            <w:bottom w:w="0" w:type="dxa"/>
          </w:tblCellMar>
        </w:tblPrEx>
        <w:tc>
          <w:tcPr>
            <w:tcW w:w="2501" w:type="pct"/>
          </w:tcPr>
          <w:p w:rsidR="00A11768" w:rsidRDefault="00A11768"/>
        </w:tc>
        <w:tc>
          <w:tcPr>
            <w:tcW w:w="2499" w:type="pct"/>
          </w:tcPr>
          <w:p w:rsidR="00A11768" w:rsidRDefault="00A11768"/>
        </w:tc>
      </w:tr>
    </w:tbl>
    <w:p w:rsidR="009C45DA" w:rsidRDefault="009C45DA"/>
    <w:sectPr w:rsidR="009C45DA">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B9B" w:rsidRDefault="003F4B9B">
      <w:r>
        <w:separator/>
      </w:r>
    </w:p>
  </w:endnote>
  <w:endnote w:type="continuationSeparator" w:id="0">
    <w:p w:rsidR="003F4B9B" w:rsidRDefault="003F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6D6CE5">
      <w:tblPrEx>
        <w:tblCellMar>
          <w:top w:w="0" w:type="dxa"/>
          <w:bottom w:w="0" w:type="dxa"/>
        </w:tblCellMar>
      </w:tblPrEx>
      <w:trPr>
        <w:cantSplit/>
      </w:trPr>
      <w:tc>
        <w:tcPr>
          <w:tcW w:w="3884" w:type="pct"/>
        </w:tcPr>
        <w:p w:rsidR="006D6CE5" w:rsidRDefault="006D6CE5">
          <w:pPr>
            <w:pStyle w:val="Footer"/>
            <w:spacing w:beforeLines="60" w:before="144"/>
            <w:rPr>
              <w:rFonts w:cs="Arial"/>
              <w:sz w:val="18"/>
              <w:szCs w:val="18"/>
            </w:rPr>
          </w:pPr>
          <w:bookmarkStart w:id="4" w:name="FooterDescription"/>
          <w:bookmarkStart w:id="5" w:name="FooterFileNo1"/>
          <w:bookmarkEnd w:id="4"/>
          <w:bookmarkEnd w:id="5"/>
          <w:r>
            <w:rPr>
              <w:rFonts w:cs="Arial"/>
              <w:sz w:val="18"/>
              <w:szCs w:val="18"/>
            </w:rPr>
            <w:t>VCAT Reference No. P1690/2019</w:t>
          </w:r>
        </w:p>
      </w:tc>
      <w:tc>
        <w:tcPr>
          <w:tcW w:w="1116" w:type="pct"/>
        </w:tcPr>
        <w:p w:rsidR="006D6CE5" w:rsidRDefault="006D6CE5">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A11768">
            <w:rPr>
              <w:rStyle w:val="PageNumber"/>
              <w:rFonts w:cs="Arial"/>
              <w:noProof/>
              <w:sz w:val="18"/>
              <w:szCs w:val="18"/>
            </w:rPr>
            <w:t>5</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A11768">
            <w:rPr>
              <w:rStyle w:val="PageNumber"/>
              <w:rFonts w:cs="Arial"/>
              <w:noProof/>
              <w:sz w:val="18"/>
              <w:szCs w:val="18"/>
            </w:rPr>
            <w:t>5</w:t>
          </w:r>
          <w:r>
            <w:rPr>
              <w:rStyle w:val="PageNumber"/>
              <w:rFonts w:cs="Arial"/>
              <w:sz w:val="18"/>
              <w:szCs w:val="18"/>
            </w:rPr>
            <w:fldChar w:fldCharType="end"/>
          </w:r>
        </w:p>
      </w:tc>
    </w:tr>
  </w:tbl>
  <w:p w:rsidR="006D6CE5" w:rsidRDefault="006D6CE5">
    <w:pPr>
      <w:pStyle w:val="Footer"/>
      <w:rPr>
        <w:sz w:val="2"/>
      </w:rPr>
    </w:pPr>
  </w:p>
  <w:p w:rsidR="006D6CE5" w:rsidRDefault="006D6CE5">
    <w:pPr>
      <w:rPr>
        <w:sz w:val="2"/>
      </w:rPr>
    </w:pPr>
  </w:p>
  <w:p w:rsidR="006D6CE5" w:rsidRDefault="006D6CE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B9B" w:rsidRDefault="003F4B9B">
      <w:r>
        <w:separator/>
      </w:r>
    </w:p>
  </w:footnote>
  <w:footnote w:type="continuationSeparator" w:id="0">
    <w:p w:rsidR="003F4B9B" w:rsidRDefault="003F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070B2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74282"/>
    <w:multiLevelType w:val="multilevel"/>
    <w:tmpl w:val="81B0A810"/>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62D53"/>
    <w:multiLevelType w:val="multilevel"/>
    <w:tmpl w:val="BED225BA"/>
    <w:lvl w:ilvl="0">
      <w:start w:val="1"/>
      <w:numFmt w:val="decimal"/>
      <w:pStyle w:val="FootnoteReference"/>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pStyle w:val="Para5"/>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33A84"/>
    <w:multiLevelType w:val="multilevel"/>
    <w:tmpl w:val="92D230A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E06E8C"/>
    <w:multiLevelType w:val="multilevel"/>
    <w:tmpl w:val="3A8A4D44"/>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74579C7"/>
    <w:multiLevelType w:val="multilevel"/>
    <w:tmpl w:val="52D0476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6D1F26"/>
    <w:multiLevelType w:val="multilevel"/>
    <w:tmpl w:val="C9369B1C"/>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40401C"/>
    <w:multiLevelType w:val="hybridMultilevel"/>
    <w:tmpl w:val="5C0478B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0C7BEE"/>
    <w:multiLevelType w:val="hybridMultilevel"/>
    <w:tmpl w:val="503EC84E"/>
    <w:lvl w:ilvl="0" w:tplc="0C090001">
      <w:start w:val="1"/>
      <w:numFmt w:val="bullet"/>
      <w:lvlText w:val=""/>
      <w:lvlJc w:val="left"/>
      <w:pPr>
        <w:tabs>
          <w:tab w:val="num" w:pos="1494"/>
        </w:tabs>
        <w:ind w:left="1494" w:hanging="360"/>
      </w:pPr>
      <w:rPr>
        <w:rFonts w:ascii="Symbol" w:hAnsi="Symbol" w:hint="default"/>
      </w:rPr>
    </w:lvl>
    <w:lvl w:ilvl="1" w:tplc="0C090005">
      <w:start w:val="1"/>
      <w:numFmt w:val="bullet"/>
      <w:lvlText w:val=""/>
      <w:lvlJc w:val="left"/>
      <w:pPr>
        <w:tabs>
          <w:tab w:val="num" w:pos="2214"/>
        </w:tabs>
        <w:ind w:left="2214" w:hanging="360"/>
      </w:pPr>
      <w:rPr>
        <w:rFonts w:ascii="Wingdings" w:hAnsi="Wingdings"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A75299"/>
    <w:multiLevelType w:val="hybridMultilevel"/>
    <w:tmpl w:val="F9FA871C"/>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176C7"/>
    <w:multiLevelType w:val="multilevel"/>
    <w:tmpl w:val="B2EE09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1477E2D"/>
    <w:multiLevelType w:val="hybridMultilevel"/>
    <w:tmpl w:val="89085A00"/>
    <w:lvl w:ilvl="0" w:tplc="0C090001">
      <w:start w:val="1"/>
      <w:numFmt w:val="bullet"/>
      <w:lvlText w:val=""/>
      <w:lvlJc w:val="left"/>
      <w:pPr>
        <w:tabs>
          <w:tab w:val="num" w:pos="1494"/>
        </w:tabs>
        <w:ind w:left="1494" w:hanging="360"/>
      </w:pPr>
      <w:rPr>
        <w:rFonts w:ascii="Symbol" w:hAnsi="Symbol" w:hint="default"/>
      </w:rPr>
    </w:lvl>
    <w:lvl w:ilvl="1" w:tplc="0C090003">
      <w:start w:val="1"/>
      <w:numFmt w:val="bullet"/>
      <w:lvlText w:val="o"/>
      <w:lvlJc w:val="left"/>
      <w:pPr>
        <w:tabs>
          <w:tab w:val="num" w:pos="2214"/>
        </w:tabs>
        <w:ind w:left="2214" w:hanging="360"/>
      </w:pPr>
      <w:rPr>
        <w:rFonts w:ascii="Courier New" w:hAnsi="Courier New" w:cs="Courier New"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Courier New"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Courier New"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4826DE"/>
    <w:multiLevelType w:val="multilevel"/>
    <w:tmpl w:val="0AC215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bullet"/>
      <w:lvlText w:val=""/>
      <w:lvlJc w:val="left"/>
      <w:pPr>
        <w:tabs>
          <w:tab w:val="num" w:pos="1928"/>
        </w:tabs>
        <w:ind w:left="1928" w:hanging="39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1760FA"/>
    <w:multiLevelType w:val="multilevel"/>
    <w:tmpl w:val="89085A00"/>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hint="default"/>
      </w:rPr>
    </w:lvl>
    <w:lvl w:ilvl="3">
      <w:start w:val="1"/>
      <w:numFmt w:val="bullet"/>
      <w:lvlText w:val=""/>
      <w:lvlJc w:val="left"/>
      <w:pPr>
        <w:tabs>
          <w:tab w:val="num" w:pos="3654"/>
        </w:tabs>
        <w:ind w:left="3654" w:hanging="360"/>
      </w:pPr>
      <w:rPr>
        <w:rFonts w:ascii="Symbol" w:hAnsi="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hint="default"/>
      </w:rPr>
    </w:lvl>
    <w:lvl w:ilvl="6">
      <w:start w:val="1"/>
      <w:numFmt w:val="bullet"/>
      <w:lvlText w:val=""/>
      <w:lvlJc w:val="left"/>
      <w:pPr>
        <w:tabs>
          <w:tab w:val="num" w:pos="5814"/>
        </w:tabs>
        <w:ind w:left="5814" w:hanging="360"/>
      </w:pPr>
      <w:rPr>
        <w:rFonts w:ascii="Symbol" w:hAnsi="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8A777A"/>
    <w:multiLevelType w:val="multilevel"/>
    <w:tmpl w:val="4DF41220"/>
    <w:lvl w:ilvl="0">
      <w:start w:val="1"/>
      <w:numFmt w:val="low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38652BC"/>
    <w:multiLevelType w:val="hybridMultilevel"/>
    <w:tmpl w:val="7D7A29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B37CC"/>
    <w:multiLevelType w:val="hybridMultilevel"/>
    <w:tmpl w:val="7A8A61EC"/>
    <w:lvl w:ilvl="0" w:tplc="0C090017">
      <w:start w:val="1"/>
      <w:numFmt w:val="lowerLetter"/>
      <w:lvlText w:val="%1)"/>
      <w:lvlJc w:val="left"/>
      <w:pPr>
        <w:ind w:left="435" w:hanging="360"/>
      </w:pPr>
    </w:lvl>
    <w:lvl w:ilvl="1" w:tplc="0C090019">
      <w:start w:val="1"/>
      <w:numFmt w:val="lowerLetter"/>
      <w:lvlText w:val="%2."/>
      <w:lvlJc w:val="left"/>
      <w:pPr>
        <w:ind w:left="1155" w:hanging="360"/>
      </w:pPr>
    </w:lvl>
    <w:lvl w:ilvl="2" w:tplc="0C09001B">
      <w:start w:val="1"/>
      <w:numFmt w:val="lowerRoman"/>
      <w:lvlText w:val="%3."/>
      <w:lvlJc w:val="right"/>
      <w:pPr>
        <w:ind w:left="1875" w:hanging="180"/>
      </w:pPr>
    </w:lvl>
    <w:lvl w:ilvl="3" w:tplc="0C09000F">
      <w:start w:val="1"/>
      <w:numFmt w:val="decimal"/>
      <w:lvlText w:val="%4."/>
      <w:lvlJc w:val="left"/>
      <w:pPr>
        <w:ind w:left="2595" w:hanging="360"/>
      </w:pPr>
    </w:lvl>
    <w:lvl w:ilvl="4" w:tplc="0C090019">
      <w:start w:val="1"/>
      <w:numFmt w:val="lowerLetter"/>
      <w:lvlText w:val="%5."/>
      <w:lvlJc w:val="left"/>
      <w:pPr>
        <w:ind w:left="3315" w:hanging="360"/>
      </w:pPr>
    </w:lvl>
    <w:lvl w:ilvl="5" w:tplc="0C09001B">
      <w:start w:val="1"/>
      <w:numFmt w:val="lowerRoman"/>
      <w:lvlText w:val="%6."/>
      <w:lvlJc w:val="right"/>
      <w:pPr>
        <w:ind w:left="4035" w:hanging="180"/>
      </w:pPr>
    </w:lvl>
    <w:lvl w:ilvl="6" w:tplc="0C09000F">
      <w:start w:val="1"/>
      <w:numFmt w:val="decimal"/>
      <w:lvlText w:val="%7."/>
      <w:lvlJc w:val="left"/>
      <w:pPr>
        <w:ind w:left="4755" w:hanging="360"/>
      </w:pPr>
    </w:lvl>
    <w:lvl w:ilvl="7" w:tplc="0C090019">
      <w:start w:val="1"/>
      <w:numFmt w:val="lowerLetter"/>
      <w:lvlText w:val="%8."/>
      <w:lvlJc w:val="left"/>
      <w:pPr>
        <w:ind w:left="5475" w:hanging="360"/>
      </w:pPr>
    </w:lvl>
    <w:lvl w:ilvl="8" w:tplc="0C09001B">
      <w:start w:val="1"/>
      <w:numFmt w:val="lowerRoman"/>
      <w:lvlText w:val="%9."/>
      <w:lvlJc w:val="right"/>
      <w:pPr>
        <w:ind w:left="6195" w:hanging="180"/>
      </w:pPr>
    </w:lvl>
  </w:abstractNum>
  <w:abstractNum w:abstractNumId="27" w15:restartNumberingAfterBreak="0">
    <w:nsid w:val="7D9B663D"/>
    <w:multiLevelType w:val="hybridMultilevel"/>
    <w:tmpl w:val="150AA4FA"/>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4"/>
  </w:num>
  <w:num w:numId="2">
    <w:abstractNumId w:val="12"/>
  </w:num>
  <w:num w:numId="3">
    <w:abstractNumId w:val="18"/>
  </w:num>
  <w:num w:numId="4">
    <w:abstractNumId w:val="6"/>
  </w:num>
  <w:num w:numId="5">
    <w:abstractNumId w:val="24"/>
  </w:num>
  <w:num w:numId="6">
    <w:abstractNumId w:val="17"/>
  </w:num>
  <w:num w:numId="7">
    <w:abstractNumId w:val="17"/>
  </w:num>
  <w:num w:numId="8">
    <w:abstractNumId w:val="9"/>
  </w:num>
  <w:num w:numId="9">
    <w:abstractNumId w:val="5"/>
  </w:num>
  <w:num w:numId="10">
    <w:abstractNumId w:val="21"/>
  </w:num>
  <w:num w:numId="11">
    <w:abstractNumId w:val="3"/>
  </w:num>
  <w:num w:numId="12">
    <w:abstractNumId w:val="22"/>
  </w:num>
  <w:num w:numId="13">
    <w:abstractNumId w:val="7"/>
  </w:num>
  <w:num w:numId="14">
    <w:abstractNumId w:val="15"/>
  </w:num>
  <w:num w:numId="15">
    <w:abstractNumId w:val="19"/>
  </w:num>
  <w:num w:numId="16">
    <w:abstractNumId w:val="14"/>
  </w:num>
  <w:num w:numId="17">
    <w:abstractNumId w:val="1"/>
  </w:num>
  <w:num w:numId="18">
    <w:abstractNumId w:val="25"/>
  </w:num>
  <w:num w:numId="19">
    <w:abstractNumId w:val="23"/>
  </w:num>
  <w:num w:numId="20">
    <w:abstractNumId w:val="10"/>
  </w:num>
  <w:num w:numId="21">
    <w:abstractNumId w:val="8"/>
  </w:num>
  <w:num w:numId="22">
    <w:abstractNumId w:val="16"/>
  </w:num>
  <w:num w:numId="23">
    <w:abstractNumId w:val="20"/>
  </w:num>
  <w:num w:numId="24">
    <w:abstractNumId w:val="11"/>
  </w:num>
  <w:num w:numId="25">
    <w:abstractNumId w:val="2"/>
  </w:num>
  <w:num w:numId="26">
    <w:abstractNumId w:val="2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ocumentProtection w:edit="readOnly" w:enforcement="1" w:cryptProviderType="rsaAES" w:cryptAlgorithmClass="hash" w:cryptAlgorithmType="typeAny" w:cryptAlgorithmSid="14" w:cryptSpinCount="100000" w:hash="/+i5F3oIrcTy9E273pWn8hMGVsXs1C5reFeyDBif+9tUS5VvPTXSDPdKmAR9ezJqJnzNHIm4xJWjsqxrpU5tjA==" w:salt="CIqES6fUhF64CkTBAbdfng=="/>
  <w:defaultTabStop w:val="284"/>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6D46CF"/>
    <w:rsid w:val="00036F58"/>
    <w:rsid w:val="0005115B"/>
    <w:rsid w:val="00084AB4"/>
    <w:rsid w:val="000964A8"/>
    <w:rsid w:val="000B3F66"/>
    <w:rsid w:val="000D4A13"/>
    <w:rsid w:val="000D53B2"/>
    <w:rsid w:val="00176B05"/>
    <w:rsid w:val="00183FDD"/>
    <w:rsid w:val="00192EE5"/>
    <w:rsid w:val="00193172"/>
    <w:rsid w:val="001A7320"/>
    <w:rsid w:val="001D6684"/>
    <w:rsid w:val="00205DD4"/>
    <w:rsid w:val="002362D8"/>
    <w:rsid w:val="002471D9"/>
    <w:rsid w:val="00256410"/>
    <w:rsid w:val="00283EBC"/>
    <w:rsid w:val="002A1C57"/>
    <w:rsid w:val="002E2113"/>
    <w:rsid w:val="002E2FA7"/>
    <w:rsid w:val="002E4769"/>
    <w:rsid w:val="002F3C97"/>
    <w:rsid w:val="003275E4"/>
    <w:rsid w:val="00337BD4"/>
    <w:rsid w:val="00394F81"/>
    <w:rsid w:val="003E1473"/>
    <w:rsid w:val="003F2AA1"/>
    <w:rsid w:val="003F3016"/>
    <w:rsid w:val="003F4B9B"/>
    <w:rsid w:val="003F5943"/>
    <w:rsid w:val="004120B0"/>
    <w:rsid w:val="00431DD0"/>
    <w:rsid w:val="004438DA"/>
    <w:rsid w:val="00457B84"/>
    <w:rsid w:val="00465F2B"/>
    <w:rsid w:val="00502134"/>
    <w:rsid w:val="00506B85"/>
    <w:rsid w:val="005535CD"/>
    <w:rsid w:val="005869F2"/>
    <w:rsid w:val="005D2E29"/>
    <w:rsid w:val="0065534C"/>
    <w:rsid w:val="00686955"/>
    <w:rsid w:val="006D46CF"/>
    <w:rsid w:val="006D6CE5"/>
    <w:rsid w:val="0070692A"/>
    <w:rsid w:val="0072611D"/>
    <w:rsid w:val="00740D20"/>
    <w:rsid w:val="00806E28"/>
    <w:rsid w:val="008159AE"/>
    <w:rsid w:val="00830954"/>
    <w:rsid w:val="008643BB"/>
    <w:rsid w:val="008900C7"/>
    <w:rsid w:val="008B5208"/>
    <w:rsid w:val="008F18C1"/>
    <w:rsid w:val="009B28FF"/>
    <w:rsid w:val="009C45DA"/>
    <w:rsid w:val="00A11768"/>
    <w:rsid w:val="00A172FB"/>
    <w:rsid w:val="00A26EAC"/>
    <w:rsid w:val="00A45AD3"/>
    <w:rsid w:val="00A90032"/>
    <w:rsid w:val="00AB604B"/>
    <w:rsid w:val="00B7704D"/>
    <w:rsid w:val="00BD6E47"/>
    <w:rsid w:val="00C02481"/>
    <w:rsid w:val="00C124AD"/>
    <w:rsid w:val="00C2148E"/>
    <w:rsid w:val="00C41845"/>
    <w:rsid w:val="00C4563E"/>
    <w:rsid w:val="00C6415B"/>
    <w:rsid w:val="00C8695B"/>
    <w:rsid w:val="00CA3691"/>
    <w:rsid w:val="00CA4972"/>
    <w:rsid w:val="00CD5BAC"/>
    <w:rsid w:val="00CE20A4"/>
    <w:rsid w:val="00CE355A"/>
    <w:rsid w:val="00CF573F"/>
    <w:rsid w:val="00D03814"/>
    <w:rsid w:val="00D1534A"/>
    <w:rsid w:val="00D72A9F"/>
    <w:rsid w:val="00DA7C98"/>
    <w:rsid w:val="00DD12F9"/>
    <w:rsid w:val="00DF1594"/>
    <w:rsid w:val="00E24884"/>
    <w:rsid w:val="00E77CA2"/>
    <w:rsid w:val="00E90519"/>
    <w:rsid w:val="00E92601"/>
    <w:rsid w:val="00EA630F"/>
    <w:rsid w:val="00ED1E3C"/>
    <w:rsid w:val="00ED2084"/>
    <w:rsid w:val="00F051CF"/>
    <w:rsid w:val="00F3061D"/>
    <w:rsid w:val="00F346DE"/>
    <w:rsid w:val="00F67DC3"/>
    <w:rsid w:val="00F818F6"/>
    <w:rsid w:val="00F956C2"/>
    <w:rsid w:val="00FA07A1"/>
    <w:rsid w:val="00FA72E5"/>
    <w:rsid w:val="00FB0D99"/>
    <w:rsid w:val="00FE17DB"/>
    <w:rsid w:val="00FE2FEA"/>
    <w:rsid w:val="00FF2C41"/>
    <w:rsid w:val="00FF3190"/>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E3CD36"/>
  <w15:chartTrackingRefBased/>
  <w15:docId w15:val="{5FD89A38-7D4E-4A69-AC35-AEA7C499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11"/>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qFormat/>
    <w:pPr>
      <w:ind w:left="1701" w:hanging="567"/>
    </w:pPr>
  </w:style>
  <w:style w:type="paragraph" w:customStyle="1" w:styleId="Para5">
    <w:name w:val="Para 5"/>
    <w:basedOn w:val="Para2"/>
    <w:qFormat/>
    <w:pPr>
      <w:numPr>
        <w:numId w:val="16"/>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Order1">
    <w:name w:val="Order 1"/>
    <w:basedOn w:val="Normal"/>
    <w:qFormat/>
    <w:pPr>
      <w:spacing w:after="120"/>
    </w:pPr>
  </w:style>
  <w:style w:type="paragraph" w:customStyle="1" w:styleId="Order2">
    <w:name w:val="Order 2"/>
    <w:basedOn w:val="Order1"/>
    <w:qFormat/>
    <w:pPr>
      <w:numPr>
        <w:numId w:val="7"/>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9"/>
      </w:numPr>
    </w:pPr>
  </w:style>
  <w:style w:type="paragraph" w:styleId="BalloonText">
    <w:name w:val="Balloon Text"/>
    <w:basedOn w:val="Normal"/>
    <w:semiHidden/>
    <w:rsid w:val="00036F58"/>
    <w:rPr>
      <w:rFonts w:ascii="Tahoma" w:hAnsi="Tahoma" w:cs="Tahoma"/>
      <w:sz w:val="16"/>
      <w:szCs w:val="16"/>
    </w:rPr>
  </w:style>
  <w:style w:type="paragraph" w:customStyle="1" w:styleId="Quote3">
    <w:name w:val="Quote 3"/>
    <w:basedOn w:val="Quote2"/>
    <w:qFormat/>
    <w:pPr>
      <w:numPr>
        <w:numId w:val="18"/>
      </w:numPr>
    </w:pPr>
  </w:style>
  <w:style w:type="paragraph" w:customStyle="1" w:styleId="TitlePage3">
    <w:name w:val="Title Page 3"/>
    <w:basedOn w:val="TitlePage2"/>
    <w:pPr>
      <w:spacing w:before="20" w:after="0"/>
      <w:jc w:val="right"/>
    </w:pPr>
    <w:rPr>
      <w:b w:val="0"/>
      <w:sz w:val="16"/>
    </w:rPr>
  </w:style>
  <w:style w:type="character" w:customStyle="1" w:styleId="Quote1Char">
    <w:name w:val="Quote 1 Char"/>
    <w:link w:val="Quote1"/>
    <w:rsid w:val="00686955"/>
    <w:rPr>
      <w:sz w:val="24"/>
      <w:szCs w:val="24"/>
      <w:lang w:val="en-AU" w:eastAsia="en-US" w:bidi="ar-SA"/>
    </w:rPr>
  </w:style>
  <w:style w:type="character" w:customStyle="1" w:styleId="Quote2Char">
    <w:name w:val="Quote 2 Char"/>
    <w:basedOn w:val="Quote1Char"/>
    <w:link w:val="Quote2"/>
    <w:rsid w:val="00686955"/>
    <w:rPr>
      <w:sz w:val="24"/>
      <w:szCs w:val="24"/>
      <w:lang w:val="en-AU" w:eastAsia="en-US" w:bidi="ar-SA"/>
    </w:rPr>
  </w:style>
  <w:style w:type="character" w:customStyle="1" w:styleId="Heading1Char">
    <w:name w:val="Heading 1 Char"/>
    <w:link w:val="Heading1"/>
    <w:rsid w:val="00CD5BAC"/>
    <w:rPr>
      <w:rFonts w:ascii="Arial" w:hAnsi="Arial"/>
      <w:b/>
      <w:bCs/>
      <w:caps/>
      <w:sz w:val="24"/>
      <w:szCs w:val="24"/>
      <w:lang w:eastAsia="en-US"/>
    </w:rPr>
  </w:style>
  <w:style w:type="character" w:customStyle="1" w:styleId="Heading2Char">
    <w:name w:val="Heading 2 Char"/>
    <w:link w:val="Heading2"/>
    <w:rsid w:val="00CD5BAC"/>
    <w:rPr>
      <w:rFonts w:ascii="Arial" w:hAnsi="Arial"/>
      <w:b/>
      <w:iCs/>
      <w:caps/>
      <w:sz w:val="24"/>
      <w:szCs w:val="24"/>
      <w:lang w:eastAsia="en-US"/>
    </w:rPr>
  </w:style>
  <w:style w:type="character" w:customStyle="1" w:styleId="ColorfulList-Accent1Char">
    <w:name w:val="Colorful List - Accent 1 Char"/>
    <w:link w:val="ColorfulList-Accent1"/>
    <w:uiPriority w:val="34"/>
    <w:locked/>
    <w:rsid w:val="00CD5BAC"/>
    <w:rPr>
      <w:rFonts w:ascii="Arial" w:hAnsi="Arial" w:cs="Arial"/>
      <w:szCs w:val="24"/>
    </w:rPr>
  </w:style>
  <w:style w:type="paragraph" w:styleId="ColorfulList-Accent1">
    <w:name w:val="Colorful List Accent 1"/>
    <w:basedOn w:val="Normal"/>
    <w:link w:val="ColorfulList-Accent1Char"/>
    <w:uiPriority w:val="34"/>
    <w:qFormat/>
    <w:rsid w:val="00CD5BAC"/>
    <w:pPr>
      <w:ind w:left="720"/>
      <w:contextualSpacing/>
    </w:pPr>
    <w:rPr>
      <w:rFonts w:ascii="Arial" w:hAnsi="Arial" w:cs="Arial"/>
      <w:sz w:val="20"/>
      <w:szCs w:val="24"/>
      <w:lang w:eastAsia="en-AU"/>
    </w:rPr>
  </w:style>
  <w:style w:type="character" w:styleId="Emphasis">
    <w:name w:val="Emphasis"/>
    <w:qFormat/>
    <w:rsid w:val="00A11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78E58005.dotm</Template>
  <TotalTime>13</TotalTime>
  <Pages>5</Pages>
  <Words>1015</Words>
  <Characters>5096</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ISTD</dc:creator>
  <cp:keywords/>
  <dc:description/>
  <cp:lastModifiedBy>Megan J Carew (CSV)</cp:lastModifiedBy>
  <cp:revision>3</cp:revision>
  <cp:lastPrinted>2019-12-12T21:23:00Z</cp:lastPrinted>
  <dcterms:created xsi:type="dcterms:W3CDTF">2019-12-12T21:23:00Z</dcterms:created>
  <dcterms:modified xsi:type="dcterms:W3CDTF">2019-12-12T21:36:00Z</dcterms:modified>
</cp:coreProperties>
</file>