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F743A" w14:textId="3DC5876E" w:rsidR="004C59CD" w:rsidRDefault="004B5A2F" w:rsidP="004C59CD">
      <w:pPr>
        <w:pStyle w:val="TitlePage1"/>
      </w:pPr>
      <w:r>
        <w:rPr>
          <w:noProof/>
        </w:rPr>
        <w:drawing>
          <wp:anchor distT="0" distB="0" distL="114300" distR="114300" simplePos="0" relativeHeight="251658240" behindDoc="1" locked="0" layoutInCell="1" allowOverlap="1" wp14:anchorId="5DE95E07" wp14:editId="67EA18F7">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0"/>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C59CD">
        <w:t>VICTORIAN CIVIL AND ADMINISTRATIVE TRIBUNAL</w:t>
      </w:r>
      <w:bookmarkStart w:id="0" w:name="Division"/>
      <w:bookmarkEnd w:id="0"/>
    </w:p>
    <w:tbl>
      <w:tblPr>
        <w:tblW w:w="5000" w:type="pct"/>
        <w:tblLook w:val="0000" w:firstRow="0" w:lastRow="0" w:firstColumn="0" w:lastColumn="0" w:noHBand="0" w:noVBand="0"/>
      </w:tblPr>
      <w:tblGrid>
        <w:gridCol w:w="4494"/>
        <w:gridCol w:w="4011"/>
      </w:tblGrid>
      <w:tr w:rsidR="004C59CD" w14:paraId="7689F967" w14:textId="77777777">
        <w:trPr>
          <w:cantSplit/>
        </w:trPr>
        <w:tc>
          <w:tcPr>
            <w:tcW w:w="2642" w:type="pct"/>
          </w:tcPr>
          <w:p w14:paraId="4F0ADEB7" w14:textId="77777777" w:rsidR="004C59CD" w:rsidRDefault="004C59CD" w:rsidP="00BD0F70">
            <w:pPr>
              <w:pStyle w:val="TitlePage2"/>
            </w:pPr>
            <w:bookmarkStart w:id="1" w:name="SubDivision"/>
            <w:bookmarkEnd w:id="1"/>
            <w:r>
              <w:t>planning and environment LIST</w:t>
            </w:r>
          </w:p>
        </w:tc>
        <w:tc>
          <w:tcPr>
            <w:tcW w:w="2358" w:type="pct"/>
          </w:tcPr>
          <w:p w14:paraId="6F0EDFE1" w14:textId="3E759652" w:rsidR="004C59CD" w:rsidRDefault="004C59CD" w:rsidP="00BD0F70">
            <w:pPr>
              <w:pStyle w:val="TitlePage3"/>
            </w:pPr>
            <w:bookmarkStart w:id="2" w:name="FileNo1"/>
            <w:bookmarkEnd w:id="2"/>
            <w:r>
              <w:t>vcat reference No</w:t>
            </w:r>
            <w:r w:rsidR="0051639A">
              <w:t xml:space="preserve">. </w:t>
            </w:r>
            <w:r w:rsidR="009D6461">
              <w:t>P</w:t>
            </w:r>
            <w:r w:rsidR="008300CB">
              <w:t>1212</w:t>
            </w:r>
            <w:r w:rsidR="009D6461">
              <w:t>/2020</w:t>
            </w:r>
          </w:p>
          <w:p w14:paraId="28AFACEE" w14:textId="5A2EC7BE" w:rsidR="004C59CD" w:rsidRDefault="004C59CD" w:rsidP="00BD0F70">
            <w:pPr>
              <w:pStyle w:val="TitlePage3"/>
            </w:pPr>
            <w:r>
              <w:t>Permit Application no</w:t>
            </w:r>
            <w:r w:rsidR="0051639A">
              <w:t xml:space="preserve">. </w:t>
            </w:r>
            <w:r w:rsidR="003C443D">
              <w:t>T</w:t>
            </w:r>
            <w:r w:rsidR="005F0731">
              <w:t>PA/51071</w:t>
            </w:r>
          </w:p>
        </w:tc>
      </w:tr>
      <w:tr w:rsidR="004C59CD" w14:paraId="638C948A" w14:textId="77777777">
        <w:tblPrEx>
          <w:jc w:val="center"/>
        </w:tblPrEx>
        <w:trPr>
          <w:cantSplit/>
          <w:jc w:val="center"/>
        </w:trPr>
        <w:tc>
          <w:tcPr>
            <w:tcW w:w="5000" w:type="pct"/>
            <w:gridSpan w:val="2"/>
          </w:tcPr>
          <w:p w14:paraId="2631E78B" w14:textId="77777777" w:rsidR="004C59CD" w:rsidRDefault="004C59CD" w:rsidP="00BD0F70">
            <w:pPr>
              <w:pStyle w:val="TitlePage2"/>
              <w:jc w:val="center"/>
            </w:pPr>
            <w:r>
              <w:t>CATCHWORDS</w:t>
            </w:r>
          </w:p>
        </w:tc>
      </w:tr>
      <w:tr w:rsidR="004C59CD" w:rsidRPr="00C3366E" w14:paraId="4FFCF665" w14:textId="77777777">
        <w:tblPrEx>
          <w:jc w:val="center"/>
        </w:tblPrEx>
        <w:trPr>
          <w:cantSplit/>
          <w:jc w:val="center"/>
        </w:trPr>
        <w:tc>
          <w:tcPr>
            <w:tcW w:w="5000" w:type="pct"/>
            <w:gridSpan w:val="2"/>
          </w:tcPr>
          <w:p w14:paraId="232B5231" w14:textId="4432DE44" w:rsidR="004C59CD" w:rsidRPr="0079698C" w:rsidRDefault="00FC280C" w:rsidP="00BD0F70">
            <w:pPr>
              <w:pStyle w:val="Catchwords"/>
              <w:rPr>
                <w:szCs w:val="20"/>
              </w:rPr>
            </w:pPr>
            <w:r w:rsidRPr="0079698C">
              <w:rPr>
                <w:szCs w:val="20"/>
              </w:rPr>
              <w:t xml:space="preserve">Section </w:t>
            </w:r>
            <w:r w:rsidR="00FA43F0" w:rsidRPr="0079698C">
              <w:rPr>
                <w:szCs w:val="20"/>
              </w:rPr>
              <w:t>8</w:t>
            </w:r>
            <w:r w:rsidR="0016352F" w:rsidRPr="0079698C">
              <w:rPr>
                <w:szCs w:val="20"/>
              </w:rPr>
              <w:t>7A</w:t>
            </w:r>
            <w:r w:rsidRPr="0079698C">
              <w:rPr>
                <w:szCs w:val="20"/>
              </w:rPr>
              <w:t xml:space="preserve"> of the </w:t>
            </w:r>
            <w:r w:rsidRPr="0079698C">
              <w:rPr>
                <w:i/>
                <w:szCs w:val="20"/>
              </w:rPr>
              <w:t xml:space="preserve">Planning and Environment Act </w:t>
            </w:r>
            <w:r w:rsidRPr="0079698C">
              <w:rPr>
                <w:szCs w:val="20"/>
              </w:rPr>
              <w:t xml:space="preserve">1987; </w:t>
            </w:r>
            <w:r w:rsidR="00D133FC" w:rsidRPr="0079698C">
              <w:rPr>
                <w:szCs w:val="20"/>
              </w:rPr>
              <w:t>Consent Order.</w:t>
            </w:r>
          </w:p>
        </w:tc>
      </w:tr>
    </w:tbl>
    <w:p w14:paraId="36855D4E" w14:textId="77777777" w:rsidR="004C59CD" w:rsidRDefault="004C59CD" w:rsidP="004C59CD">
      <w:bookmarkStart w:id="3" w:name="Catchwords"/>
      <w:bookmarkEnd w:id="3"/>
    </w:p>
    <w:p w14:paraId="3559404B" w14:textId="77777777" w:rsidR="0051639A" w:rsidRDefault="0051639A" w:rsidP="004C59CD"/>
    <w:tbl>
      <w:tblPr>
        <w:tblW w:w="5000" w:type="pct"/>
        <w:tblLook w:val="0000" w:firstRow="0" w:lastRow="0" w:firstColumn="0" w:lastColumn="0" w:noHBand="0" w:noVBand="0"/>
      </w:tblPr>
      <w:tblGrid>
        <w:gridCol w:w="3967"/>
        <w:gridCol w:w="4538"/>
      </w:tblGrid>
      <w:tr w:rsidR="004C59CD" w14:paraId="14DF1063" w14:textId="77777777" w:rsidTr="0020437E">
        <w:tc>
          <w:tcPr>
            <w:tcW w:w="2332" w:type="pct"/>
          </w:tcPr>
          <w:p w14:paraId="3C04579C" w14:textId="77777777" w:rsidR="004C59CD" w:rsidRDefault="004C59CD" w:rsidP="00BD0F70">
            <w:pPr>
              <w:pStyle w:val="TitlePage2"/>
            </w:pPr>
            <w:bookmarkStart w:id="4" w:name="DELcomplainants2"/>
            <w:bookmarkStart w:id="5" w:name="DELapp"/>
            <w:bookmarkStart w:id="6" w:name="DELitmo"/>
            <w:bookmarkStart w:id="7" w:name="DELcar"/>
            <w:r>
              <w:t>APPLICANT</w:t>
            </w:r>
          </w:p>
        </w:tc>
        <w:tc>
          <w:tcPr>
            <w:tcW w:w="2668" w:type="pct"/>
          </w:tcPr>
          <w:p w14:paraId="0DA1D7C3" w14:textId="323C8F5A" w:rsidR="004C59CD" w:rsidRDefault="002B1832" w:rsidP="00BD0F70">
            <w:pPr>
              <w:pStyle w:val="TitlePagetext"/>
            </w:pPr>
            <w:bookmarkStart w:id="8" w:name="Applicant"/>
            <w:bookmarkEnd w:id="8"/>
            <w:r>
              <w:t xml:space="preserve">The </w:t>
            </w:r>
            <w:r w:rsidR="009E373B">
              <w:t>T</w:t>
            </w:r>
            <w:r>
              <w:t>rust Company (Australia) Limited</w:t>
            </w:r>
          </w:p>
        </w:tc>
      </w:tr>
      <w:tr w:rsidR="004C59CD" w14:paraId="5F1490B7" w14:textId="77777777" w:rsidTr="0020437E">
        <w:tc>
          <w:tcPr>
            <w:tcW w:w="2332" w:type="pct"/>
          </w:tcPr>
          <w:p w14:paraId="4C845073" w14:textId="77777777" w:rsidR="004C59CD" w:rsidRDefault="004C59CD" w:rsidP="00BD0F70">
            <w:pPr>
              <w:pStyle w:val="TitlePage2"/>
            </w:pPr>
            <w:r>
              <w:t>responsible authority</w:t>
            </w:r>
          </w:p>
        </w:tc>
        <w:tc>
          <w:tcPr>
            <w:tcW w:w="2668" w:type="pct"/>
          </w:tcPr>
          <w:p w14:paraId="0B0F253F" w14:textId="6B4F521A" w:rsidR="004C59CD" w:rsidRDefault="002B1832" w:rsidP="00BD0F70">
            <w:pPr>
              <w:pStyle w:val="TitlePagetext"/>
            </w:pPr>
            <w:r>
              <w:t>Monash City</w:t>
            </w:r>
            <w:r w:rsidR="00D133FC">
              <w:t xml:space="preserve"> Council</w:t>
            </w:r>
          </w:p>
        </w:tc>
      </w:tr>
      <w:tr w:rsidR="004C59CD" w14:paraId="717061D8" w14:textId="77777777" w:rsidTr="0020437E">
        <w:tc>
          <w:tcPr>
            <w:tcW w:w="2332" w:type="pct"/>
          </w:tcPr>
          <w:p w14:paraId="3300AA7A" w14:textId="17390A7F" w:rsidR="004C59CD" w:rsidRDefault="004C59CD" w:rsidP="00D42C0D">
            <w:pPr>
              <w:pStyle w:val="TitlePage2"/>
              <w:spacing w:before="240" w:after="120"/>
            </w:pPr>
            <w:bookmarkStart w:id="9" w:name="DELrespondents2"/>
            <w:bookmarkEnd w:id="4"/>
            <w:bookmarkEnd w:id="5"/>
            <w:r>
              <w:t>RESPONDENT</w:t>
            </w:r>
          </w:p>
        </w:tc>
        <w:tc>
          <w:tcPr>
            <w:tcW w:w="2668" w:type="pct"/>
          </w:tcPr>
          <w:p w14:paraId="3B98D6AC" w14:textId="389E025A" w:rsidR="00D42C0D" w:rsidRDefault="00E71F2F" w:rsidP="00D42C0D">
            <w:pPr>
              <w:pStyle w:val="TitlePagetext"/>
              <w:spacing w:before="240" w:after="120"/>
            </w:pPr>
            <w:bookmarkStart w:id="10" w:name="Respondent"/>
            <w:bookmarkEnd w:id="10"/>
            <w:r>
              <w:t>Greg Capuana</w:t>
            </w:r>
          </w:p>
        </w:tc>
      </w:tr>
      <w:tr w:rsidR="004C59CD" w14:paraId="147E84B3" w14:textId="77777777" w:rsidTr="0020437E">
        <w:tc>
          <w:tcPr>
            <w:tcW w:w="2332" w:type="pct"/>
          </w:tcPr>
          <w:p w14:paraId="7F6681BE" w14:textId="77777777" w:rsidR="004C59CD" w:rsidRDefault="004C59CD" w:rsidP="00BD0F70">
            <w:pPr>
              <w:pStyle w:val="TitlePage2"/>
            </w:pPr>
            <w:bookmarkStart w:id="11" w:name="DELsubjectland"/>
            <w:r>
              <w:t>SUBJECT LAND</w:t>
            </w:r>
          </w:p>
        </w:tc>
        <w:tc>
          <w:tcPr>
            <w:tcW w:w="2668" w:type="pct"/>
          </w:tcPr>
          <w:p w14:paraId="3D2DD615" w14:textId="7618B3B8" w:rsidR="004C59CD" w:rsidRDefault="00BB6146" w:rsidP="00BD0F70">
            <w:pPr>
              <w:pStyle w:val="TitlePagetext"/>
            </w:pPr>
            <w:bookmarkStart w:id="12" w:name="subjectland"/>
            <w:bookmarkEnd w:id="12"/>
            <w:r>
              <w:t>15 Anzed Court</w:t>
            </w:r>
          </w:p>
          <w:p w14:paraId="1A8C53FB" w14:textId="5B9813F6" w:rsidR="00D133FC" w:rsidRDefault="00BB6146" w:rsidP="00BD0F70">
            <w:pPr>
              <w:pStyle w:val="TitlePagetext"/>
            </w:pPr>
            <w:r>
              <w:t>MULGRAVE VIC</w:t>
            </w:r>
            <w:r w:rsidR="00D133FC">
              <w:t xml:space="preserve"> </w:t>
            </w:r>
            <w:r w:rsidR="00FD5786">
              <w:t>3</w:t>
            </w:r>
            <w:r>
              <w:t>170</w:t>
            </w:r>
          </w:p>
        </w:tc>
      </w:tr>
      <w:tr w:rsidR="0079698C" w14:paraId="2A58D4BC" w14:textId="77777777" w:rsidTr="0020437E">
        <w:tc>
          <w:tcPr>
            <w:tcW w:w="2332" w:type="pct"/>
          </w:tcPr>
          <w:p w14:paraId="7964ADE3" w14:textId="786366DD" w:rsidR="0079698C" w:rsidRDefault="0079698C" w:rsidP="00BD0F70">
            <w:pPr>
              <w:pStyle w:val="TitlePage2"/>
            </w:pPr>
            <w:bookmarkStart w:id="13" w:name="INSresponsibleAuthority"/>
            <w:bookmarkEnd w:id="6"/>
            <w:bookmarkEnd w:id="7"/>
            <w:bookmarkEnd w:id="9"/>
            <w:bookmarkEnd w:id="11"/>
            <w:bookmarkEnd w:id="13"/>
            <w:r>
              <w:t>DATE OF ORDER</w:t>
            </w:r>
          </w:p>
        </w:tc>
        <w:tc>
          <w:tcPr>
            <w:tcW w:w="2668" w:type="pct"/>
          </w:tcPr>
          <w:p w14:paraId="266FCEAF" w14:textId="3EB2FDFC" w:rsidR="0079698C" w:rsidRDefault="009F68F7" w:rsidP="00BD0F70">
            <w:pPr>
              <w:pStyle w:val="TitlePagetext"/>
            </w:pPr>
            <w:bookmarkStart w:id="14" w:name="HearingType"/>
            <w:bookmarkEnd w:id="14"/>
            <w:r>
              <w:t>30</w:t>
            </w:r>
            <w:r w:rsidR="00FD5786">
              <w:t xml:space="preserve"> April 2021</w:t>
            </w:r>
          </w:p>
        </w:tc>
      </w:tr>
      <w:tr w:rsidR="0020437E" w14:paraId="6C5C22B4" w14:textId="77777777" w:rsidTr="0020437E">
        <w:trPr>
          <w:trHeight w:val="329"/>
        </w:trPr>
        <w:tc>
          <w:tcPr>
            <w:tcW w:w="2332" w:type="pct"/>
          </w:tcPr>
          <w:p w14:paraId="2CE5FCE0" w14:textId="792280CE" w:rsidR="0020437E" w:rsidRDefault="0020437E" w:rsidP="00BD0F70">
            <w:pPr>
              <w:pStyle w:val="TitlePage2"/>
            </w:pPr>
          </w:p>
        </w:tc>
        <w:tc>
          <w:tcPr>
            <w:tcW w:w="2668" w:type="pct"/>
          </w:tcPr>
          <w:p w14:paraId="0E22E948" w14:textId="10C1E2B2" w:rsidR="0020437E" w:rsidRDefault="0020437E" w:rsidP="00BD0F70">
            <w:pPr>
              <w:pStyle w:val="TitlePagetext"/>
            </w:pPr>
            <w:bookmarkStart w:id="15" w:name="HearingDate"/>
            <w:bookmarkEnd w:id="15"/>
          </w:p>
        </w:tc>
      </w:tr>
    </w:tbl>
    <w:p w14:paraId="4FE59017" w14:textId="77777777" w:rsidR="00BA2CAD" w:rsidRDefault="00AD7765" w:rsidP="004C59CD">
      <w:pPr>
        <w:pStyle w:val="Heading1"/>
      </w:pPr>
      <w:r>
        <w:t>order</w:t>
      </w:r>
    </w:p>
    <w:p w14:paraId="52D0939C" w14:textId="57F2DCD5" w:rsidR="002E50EA" w:rsidRPr="002E50EA" w:rsidRDefault="002E50EA" w:rsidP="0051639A">
      <w:pPr>
        <w:pStyle w:val="Order2"/>
      </w:pPr>
      <w:r w:rsidRPr="00EA352E">
        <w:rPr>
          <w:color w:val="000000"/>
        </w:rPr>
        <w:t xml:space="preserve">The hearing listed to commence on </w:t>
      </w:r>
      <w:r w:rsidR="00B363C2">
        <w:rPr>
          <w:b/>
          <w:bCs/>
          <w:color w:val="000000"/>
        </w:rPr>
        <w:t>7 May</w:t>
      </w:r>
      <w:r w:rsidR="00FD5786">
        <w:rPr>
          <w:b/>
          <w:bCs/>
          <w:color w:val="000000"/>
        </w:rPr>
        <w:t xml:space="preserve"> 2021</w:t>
      </w:r>
      <w:r>
        <w:rPr>
          <w:color w:val="000000"/>
        </w:rPr>
        <w:t xml:space="preserve"> </w:t>
      </w:r>
      <w:r w:rsidRPr="00EA352E">
        <w:rPr>
          <w:color w:val="000000"/>
        </w:rPr>
        <w:t xml:space="preserve">is cancelled and the date </w:t>
      </w:r>
      <w:r w:rsidRPr="002E50EA">
        <w:rPr>
          <w:b/>
          <w:bCs/>
          <w:color w:val="000000"/>
        </w:rPr>
        <w:t>vacated</w:t>
      </w:r>
      <w:r w:rsidRPr="00EA352E">
        <w:rPr>
          <w:color w:val="000000"/>
        </w:rPr>
        <w:t>.</w:t>
      </w:r>
    </w:p>
    <w:p w14:paraId="34D5A197" w14:textId="37694709" w:rsidR="00BA2CAD" w:rsidRDefault="00BA2CAD" w:rsidP="0051639A">
      <w:pPr>
        <w:pStyle w:val="Order2"/>
      </w:pPr>
      <w:r>
        <w:t xml:space="preserve">The parties to this </w:t>
      </w:r>
      <w:r w:rsidR="0051639A">
        <w:t xml:space="preserve">application for review </w:t>
      </w:r>
      <w:r>
        <w:t xml:space="preserve">have advised the Member that they have reached agreement in relation to the matters in dispute and that they consent to the Tribunal making an order implementing their agreement. </w:t>
      </w:r>
    </w:p>
    <w:p w14:paraId="02A4F287" w14:textId="77777777" w:rsidR="00BA2CAD" w:rsidRDefault="0051639A" w:rsidP="00AD7765">
      <w:pPr>
        <w:pStyle w:val="Order2"/>
      </w:pPr>
      <w:r>
        <w:t>The o</w:t>
      </w:r>
      <w:r w:rsidR="00BA2CAD">
        <w:t xml:space="preserve">rder of this Tribunal is that the decision of the </w:t>
      </w:r>
      <w:r>
        <w:t xml:space="preserve">responsible authority </w:t>
      </w:r>
      <w:r w:rsidR="00BA2CAD">
        <w:t xml:space="preserve">is </w:t>
      </w:r>
      <w:r w:rsidR="00010BBD">
        <w:t>varied</w:t>
      </w:r>
      <w:r w:rsidR="00BA2CAD">
        <w:t>.</w:t>
      </w:r>
    </w:p>
    <w:p w14:paraId="7B1013F2" w14:textId="3A2C3A11" w:rsidR="00621A0A" w:rsidRDefault="0064543A" w:rsidP="00A72085">
      <w:pPr>
        <w:pStyle w:val="Order2"/>
      </w:pPr>
      <w:r>
        <w:t xml:space="preserve">The Notice of Decision to Grant a Planning Permit in </w:t>
      </w:r>
      <w:r w:rsidR="00A72085" w:rsidRPr="00EA352E">
        <w:t xml:space="preserve">Planning Permit No. </w:t>
      </w:r>
      <w:r w:rsidR="00A478F5">
        <w:t>TPA</w:t>
      </w:r>
      <w:r w:rsidR="00EF22C4">
        <w:t>/51071</w:t>
      </w:r>
      <w:r w:rsidR="00AB55C0">
        <w:t>,</w:t>
      </w:r>
      <w:r w:rsidR="00A72085" w:rsidRPr="00EA352E">
        <w:t xml:space="preserve"> </w:t>
      </w:r>
      <w:r>
        <w:t xml:space="preserve">issued by the </w:t>
      </w:r>
      <w:r w:rsidR="00EF22C4">
        <w:t>Monash City</w:t>
      </w:r>
      <w:r>
        <w:t xml:space="preserve"> Council on </w:t>
      </w:r>
      <w:r w:rsidR="00BC5281">
        <w:t>6 July</w:t>
      </w:r>
      <w:r w:rsidR="00AB55C0">
        <w:t xml:space="preserve"> 2020, </w:t>
      </w:r>
      <w:r w:rsidR="00A72085" w:rsidRPr="00EA352E">
        <w:t xml:space="preserve">is amended and it is directed that an amended permit be issued for land at </w:t>
      </w:r>
      <w:r w:rsidR="00BC5281">
        <w:t>15 Anzed Court, Mulgrave</w:t>
      </w:r>
      <w:r w:rsidR="00F5098F">
        <w:t xml:space="preserve"> Vic. 3170</w:t>
      </w:r>
      <w:r w:rsidR="00621A0A">
        <w:t>.</w:t>
      </w:r>
    </w:p>
    <w:p w14:paraId="0CF8E243" w14:textId="7DAB2B3E" w:rsidR="00BC21C6" w:rsidRPr="00346532" w:rsidRDefault="00621A0A" w:rsidP="00A72085">
      <w:pPr>
        <w:pStyle w:val="Order2"/>
      </w:pPr>
      <w:r>
        <w:t>The amended permit allows</w:t>
      </w:r>
      <w:r w:rsidRPr="00AB55C0">
        <w:rPr>
          <w:rFonts w:cs="Arial"/>
        </w:rPr>
        <w:t xml:space="preserve"> </w:t>
      </w:r>
      <w:r w:rsidR="004E7C48">
        <w:rPr>
          <w:rFonts w:cs="Arial"/>
        </w:rPr>
        <w:t xml:space="preserve">the development </w:t>
      </w:r>
      <w:r w:rsidR="00DD2FC6">
        <w:rPr>
          <w:rFonts w:cs="Arial"/>
        </w:rPr>
        <w:t>of a warehouse and associated building and works and construction of a front fence</w:t>
      </w:r>
      <w:r w:rsidR="00E44C8A">
        <w:rPr>
          <w:rFonts w:cs="Arial"/>
        </w:rPr>
        <w:t>.</w:t>
      </w:r>
    </w:p>
    <w:p w14:paraId="48F26BE9" w14:textId="2C479BD9" w:rsidR="00985D8E" w:rsidRDefault="00985D8E" w:rsidP="00546A5F">
      <w:pPr>
        <w:pStyle w:val="Order2"/>
      </w:pPr>
      <w:r>
        <w:t xml:space="preserve">The permit is subject to conditions contained in the Notice of Decision to Grant a Permit dated 6 July 2020, subject to the following modification: </w:t>
      </w:r>
    </w:p>
    <w:p w14:paraId="17229CD1" w14:textId="77777777" w:rsidR="00985D8E" w:rsidRPr="00E44C8A" w:rsidRDefault="00985D8E" w:rsidP="00546A5F">
      <w:pPr>
        <w:pStyle w:val="Order2"/>
        <w:numPr>
          <w:ilvl w:val="0"/>
          <w:numId w:val="0"/>
        </w:numPr>
        <w:ind w:left="567"/>
        <w:rPr>
          <w:sz w:val="24"/>
          <w:szCs w:val="24"/>
        </w:rPr>
      </w:pPr>
      <w:r w:rsidRPr="00E44C8A">
        <w:rPr>
          <w:sz w:val="24"/>
          <w:szCs w:val="24"/>
        </w:rPr>
        <w:t xml:space="preserve">New condition 1. d) requiring the following: </w:t>
      </w:r>
    </w:p>
    <w:p w14:paraId="25E6C93B" w14:textId="77777777" w:rsidR="00985D8E" w:rsidRPr="00E44C8A" w:rsidRDefault="00985D8E" w:rsidP="00606732">
      <w:pPr>
        <w:pStyle w:val="Order2"/>
        <w:numPr>
          <w:ilvl w:val="0"/>
          <w:numId w:val="0"/>
        </w:numPr>
        <w:ind w:left="567"/>
        <w:rPr>
          <w:sz w:val="24"/>
          <w:szCs w:val="24"/>
        </w:rPr>
      </w:pPr>
      <w:r w:rsidRPr="00E44C8A">
        <w:rPr>
          <w:sz w:val="24"/>
          <w:szCs w:val="24"/>
        </w:rPr>
        <w:t xml:space="preserve">The development must be generally in accordance with the following documents (as agreed by all parties):  </w:t>
      </w:r>
    </w:p>
    <w:p w14:paraId="21C2A4F7" w14:textId="6BB66832" w:rsidR="00985D8E" w:rsidRPr="00E44C8A" w:rsidRDefault="00985D8E" w:rsidP="00606732">
      <w:pPr>
        <w:pStyle w:val="Order2"/>
        <w:numPr>
          <w:ilvl w:val="0"/>
          <w:numId w:val="0"/>
        </w:numPr>
        <w:ind w:left="852"/>
        <w:rPr>
          <w:sz w:val="24"/>
          <w:szCs w:val="24"/>
        </w:rPr>
      </w:pPr>
      <w:r w:rsidRPr="00E44C8A">
        <w:rPr>
          <w:sz w:val="24"/>
          <w:szCs w:val="24"/>
        </w:rPr>
        <w:t>Engineering Drawings, prepared by Shackelford Consulting Engineers, Revision P4, dated 30 March 2021</w:t>
      </w:r>
      <w:r w:rsidR="00E033F8" w:rsidRPr="00E44C8A">
        <w:rPr>
          <w:sz w:val="24"/>
          <w:szCs w:val="24"/>
        </w:rPr>
        <w:t>.</w:t>
      </w:r>
      <w:r w:rsidRPr="00E44C8A">
        <w:rPr>
          <w:sz w:val="24"/>
          <w:szCs w:val="24"/>
        </w:rPr>
        <w:t xml:space="preserve">  </w:t>
      </w:r>
    </w:p>
    <w:p w14:paraId="433F6AFA" w14:textId="3ACB7793" w:rsidR="00985D8E" w:rsidRPr="00E44C8A" w:rsidRDefault="004B5A2F" w:rsidP="00606732">
      <w:pPr>
        <w:pStyle w:val="Order2"/>
        <w:numPr>
          <w:ilvl w:val="0"/>
          <w:numId w:val="0"/>
        </w:numPr>
        <w:ind w:left="852"/>
        <w:rPr>
          <w:sz w:val="24"/>
          <w:szCs w:val="24"/>
        </w:rPr>
      </w:pPr>
      <w:r>
        <w:rPr>
          <w:noProof/>
          <w:sz w:val="24"/>
          <w:szCs w:val="24"/>
        </w:rPr>
        <w:lastRenderedPageBreak/>
        <w:drawing>
          <wp:anchor distT="0" distB="0" distL="114300" distR="114300" simplePos="0" relativeHeight="251659264" behindDoc="1" locked="0" layoutInCell="1" allowOverlap="1" wp14:anchorId="2AB71DAB" wp14:editId="1C84B7A8">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0"/>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85D8E" w:rsidRPr="00E44C8A">
        <w:rPr>
          <w:sz w:val="24"/>
          <w:szCs w:val="24"/>
        </w:rPr>
        <w:t>Geotech Report No. 1190935-2 Issue 3, prepared by Civil Test Pty Ltd, dated 1 March 2021</w:t>
      </w:r>
      <w:r w:rsidR="00E033F8" w:rsidRPr="00E44C8A">
        <w:rPr>
          <w:sz w:val="24"/>
          <w:szCs w:val="24"/>
        </w:rPr>
        <w:t>.</w:t>
      </w:r>
      <w:r w:rsidR="00985D8E" w:rsidRPr="00E44C8A">
        <w:rPr>
          <w:sz w:val="24"/>
          <w:szCs w:val="24"/>
        </w:rPr>
        <w:t xml:space="preserve"> </w:t>
      </w:r>
    </w:p>
    <w:p w14:paraId="27371C21" w14:textId="510C9839" w:rsidR="00985D8E" w:rsidRPr="00E44C8A" w:rsidRDefault="00985D8E" w:rsidP="008D48E0">
      <w:pPr>
        <w:pStyle w:val="Order2"/>
        <w:numPr>
          <w:ilvl w:val="0"/>
          <w:numId w:val="0"/>
        </w:numPr>
        <w:ind w:left="852"/>
        <w:rPr>
          <w:sz w:val="24"/>
          <w:szCs w:val="24"/>
        </w:rPr>
      </w:pPr>
      <w:r w:rsidRPr="00E44C8A">
        <w:rPr>
          <w:sz w:val="24"/>
          <w:szCs w:val="24"/>
        </w:rPr>
        <w:t>Civil Drawings Revision P6, prepared by Axiom Architects, dated 18 February 2021</w:t>
      </w:r>
      <w:r w:rsidR="00E033F8" w:rsidRPr="00E44C8A">
        <w:rPr>
          <w:sz w:val="24"/>
          <w:szCs w:val="24"/>
        </w:rPr>
        <w:t>.</w:t>
      </w:r>
      <w:r w:rsidRPr="00E44C8A">
        <w:rPr>
          <w:sz w:val="24"/>
          <w:szCs w:val="24"/>
        </w:rPr>
        <w:t xml:space="preserve"> </w:t>
      </w:r>
    </w:p>
    <w:p w14:paraId="083EF1B0" w14:textId="77777777" w:rsidR="00985D8E" w:rsidRPr="00E44C8A" w:rsidRDefault="00985D8E" w:rsidP="00E033F8">
      <w:pPr>
        <w:pStyle w:val="Order2"/>
        <w:numPr>
          <w:ilvl w:val="0"/>
          <w:numId w:val="0"/>
        </w:numPr>
        <w:ind w:left="567"/>
        <w:rPr>
          <w:sz w:val="24"/>
          <w:szCs w:val="24"/>
        </w:rPr>
      </w:pPr>
      <w:r w:rsidRPr="00E44C8A">
        <w:rPr>
          <w:sz w:val="24"/>
          <w:szCs w:val="24"/>
        </w:rPr>
        <w:t xml:space="preserve">New condition to be added to the Permit, requiring the following: </w:t>
      </w:r>
    </w:p>
    <w:p w14:paraId="71CA9C4A" w14:textId="77777777" w:rsidR="00985D8E" w:rsidRPr="00E44C8A" w:rsidRDefault="00985D8E" w:rsidP="00E033F8">
      <w:pPr>
        <w:pStyle w:val="Order2"/>
        <w:numPr>
          <w:ilvl w:val="0"/>
          <w:numId w:val="0"/>
        </w:numPr>
        <w:ind w:left="567"/>
        <w:rPr>
          <w:sz w:val="24"/>
          <w:szCs w:val="24"/>
        </w:rPr>
      </w:pPr>
      <w:r w:rsidRPr="00E44C8A">
        <w:rPr>
          <w:sz w:val="24"/>
          <w:szCs w:val="24"/>
        </w:rPr>
        <w:t xml:space="preserve">Construction Management Plan </w:t>
      </w:r>
    </w:p>
    <w:p w14:paraId="04DABB4C" w14:textId="77777777" w:rsidR="00985D8E" w:rsidRPr="00E44C8A" w:rsidRDefault="00985D8E" w:rsidP="00E033F8">
      <w:pPr>
        <w:pStyle w:val="Order2"/>
        <w:numPr>
          <w:ilvl w:val="0"/>
          <w:numId w:val="0"/>
        </w:numPr>
        <w:ind w:left="567"/>
        <w:rPr>
          <w:sz w:val="24"/>
          <w:szCs w:val="24"/>
        </w:rPr>
      </w:pPr>
      <w:r w:rsidRPr="00E44C8A">
        <w:rPr>
          <w:sz w:val="24"/>
          <w:szCs w:val="24"/>
        </w:rPr>
        <w:t xml:space="preserve">Prior to the commencement of works on the site (including demolition and excavation), a Construction Management Plan (CMP) must be submitted and approved by the Responsible Authority. No works are permitted to occur until the CMP has been endorsed by the Responsible Authority. Once endorsed, the CMP will form part of the permit and must be implemented to the satisfaction of the Responsible Authority. The CMP must address the following issues: </w:t>
      </w:r>
    </w:p>
    <w:p w14:paraId="56500230" w14:textId="5A3FF85A" w:rsidR="00985D8E" w:rsidRPr="00E44C8A" w:rsidRDefault="00985D8E" w:rsidP="009C0961">
      <w:pPr>
        <w:pStyle w:val="Order2"/>
        <w:numPr>
          <w:ilvl w:val="0"/>
          <w:numId w:val="0"/>
        </w:numPr>
        <w:ind w:left="1418" w:hanging="566"/>
        <w:rPr>
          <w:sz w:val="24"/>
          <w:szCs w:val="24"/>
        </w:rPr>
      </w:pPr>
      <w:r w:rsidRPr="00E44C8A">
        <w:rPr>
          <w:sz w:val="24"/>
          <w:szCs w:val="24"/>
        </w:rPr>
        <w:t xml:space="preserve">a) </w:t>
      </w:r>
      <w:r w:rsidR="009C0961" w:rsidRPr="00E44C8A">
        <w:rPr>
          <w:sz w:val="24"/>
          <w:szCs w:val="24"/>
        </w:rPr>
        <w:tab/>
      </w:r>
      <w:r w:rsidRPr="00E44C8A">
        <w:rPr>
          <w:sz w:val="24"/>
          <w:szCs w:val="24"/>
        </w:rPr>
        <w:t>Hours for construction activity in accordance with any other condition of this permit</w:t>
      </w:r>
      <w:r w:rsidR="009C0961" w:rsidRPr="00E44C8A">
        <w:rPr>
          <w:sz w:val="24"/>
          <w:szCs w:val="24"/>
        </w:rPr>
        <w:t>.</w:t>
      </w:r>
      <w:r w:rsidRPr="00E44C8A">
        <w:rPr>
          <w:sz w:val="24"/>
          <w:szCs w:val="24"/>
        </w:rPr>
        <w:t xml:space="preserve"> </w:t>
      </w:r>
    </w:p>
    <w:p w14:paraId="5670D263" w14:textId="7B04ACB9" w:rsidR="00985D8E" w:rsidRPr="00E44C8A" w:rsidRDefault="00985D8E" w:rsidP="009C0961">
      <w:pPr>
        <w:pStyle w:val="Order2"/>
        <w:numPr>
          <w:ilvl w:val="0"/>
          <w:numId w:val="0"/>
        </w:numPr>
        <w:ind w:left="1418" w:hanging="566"/>
        <w:rPr>
          <w:sz w:val="24"/>
          <w:szCs w:val="24"/>
        </w:rPr>
      </w:pPr>
      <w:r w:rsidRPr="00E44C8A">
        <w:rPr>
          <w:sz w:val="24"/>
          <w:szCs w:val="24"/>
        </w:rPr>
        <w:t xml:space="preserve">b) </w:t>
      </w:r>
      <w:r w:rsidR="009C0961" w:rsidRPr="00E44C8A">
        <w:rPr>
          <w:sz w:val="24"/>
          <w:szCs w:val="24"/>
        </w:rPr>
        <w:tab/>
      </w:r>
      <w:r w:rsidRPr="00E44C8A">
        <w:rPr>
          <w:sz w:val="24"/>
          <w:szCs w:val="24"/>
        </w:rPr>
        <w:t>Measures to control noise, dust and water and sediment laden runoff</w:t>
      </w:r>
      <w:r w:rsidR="009C0961" w:rsidRPr="00E44C8A">
        <w:rPr>
          <w:sz w:val="24"/>
          <w:szCs w:val="24"/>
        </w:rPr>
        <w:t>.</w:t>
      </w:r>
      <w:r w:rsidRPr="00E44C8A">
        <w:rPr>
          <w:sz w:val="24"/>
          <w:szCs w:val="24"/>
        </w:rPr>
        <w:t xml:space="preserve"> </w:t>
      </w:r>
    </w:p>
    <w:p w14:paraId="41440FD5" w14:textId="607B00AF" w:rsidR="00985D8E" w:rsidRPr="00E44C8A" w:rsidRDefault="00985D8E" w:rsidP="009C0961">
      <w:pPr>
        <w:pStyle w:val="Order2"/>
        <w:numPr>
          <w:ilvl w:val="0"/>
          <w:numId w:val="0"/>
        </w:numPr>
        <w:ind w:left="1418" w:hanging="566"/>
        <w:rPr>
          <w:sz w:val="24"/>
          <w:szCs w:val="24"/>
        </w:rPr>
      </w:pPr>
      <w:r w:rsidRPr="00E44C8A">
        <w:rPr>
          <w:sz w:val="24"/>
          <w:szCs w:val="24"/>
        </w:rPr>
        <w:t xml:space="preserve">c) </w:t>
      </w:r>
      <w:r w:rsidR="009C0961" w:rsidRPr="00E44C8A">
        <w:rPr>
          <w:sz w:val="24"/>
          <w:szCs w:val="24"/>
        </w:rPr>
        <w:tab/>
      </w:r>
      <w:r w:rsidRPr="00E44C8A">
        <w:rPr>
          <w:sz w:val="24"/>
          <w:szCs w:val="24"/>
        </w:rPr>
        <w:t>Prevention of silt or other pollutants from entering into the Council’s underground drainage system or road network</w:t>
      </w:r>
      <w:r w:rsidR="009C0961" w:rsidRPr="00E44C8A">
        <w:rPr>
          <w:sz w:val="24"/>
          <w:szCs w:val="24"/>
        </w:rPr>
        <w:t>.</w:t>
      </w:r>
      <w:r w:rsidRPr="00E44C8A">
        <w:rPr>
          <w:sz w:val="24"/>
          <w:szCs w:val="24"/>
        </w:rPr>
        <w:t xml:space="preserve"> </w:t>
      </w:r>
    </w:p>
    <w:p w14:paraId="6B203F7C" w14:textId="551B1686" w:rsidR="00985D8E" w:rsidRPr="00E44C8A" w:rsidRDefault="00985D8E" w:rsidP="009C0961">
      <w:pPr>
        <w:pStyle w:val="Order2"/>
        <w:numPr>
          <w:ilvl w:val="0"/>
          <w:numId w:val="0"/>
        </w:numPr>
        <w:ind w:left="1418" w:hanging="566"/>
        <w:rPr>
          <w:sz w:val="24"/>
          <w:szCs w:val="24"/>
        </w:rPr>
      </w:pPr>
      <w:r w:rsidRPr="00E44C8A">
        <w:rPr>
          <w:sz w:val="24"/>
          <w:szCs w:val="24"/>
        </w:rPr>
        <w:t xml:space="preserve">d) </w:t>
      </w:r>
      <w:r w:rsidR="009C0961" w:rsidRPr="00E44C8A">
        <w:rPr>
          <w:sz w:val="24"/>
          <w:szCs w:val="24"/>
        </w:rPr>
        <w:tab/>
      </w:r>
      <w:r w:rsidR="00FE1B53" w:rsidRPr="00E44C8A">
        <w:rPr>
          <w:sz w:val="24"/>
          <w:szCs w:val="24"/>
        </w:rPr>
        <w:t>A</w:t>
      </w:r>
      <w:r w:rsidRPr="00E44C8A">
        <w:rPr>
          <w:sz w:val="24"/>
          <w:szCs w:val="24"/>
        </w:rPr>
        <w:t xml:space="preserve"> plan showing the location and design of a vehicle wash-down bay for construction vehicles on the site</w:t>
      </w:r>
      <w:r w:rsidR="009C0961" w:rsidRPr="00E44C8A">
        <w:rPr>
          <w:sz w:val="24"/>
          <w:szCs w:val="24"/>
        </w:rPr>
        <w:t>.</w:t>
      </w:r>
      <w:r w:rsidRPr="00E44C8A">
        <w:rPr>
          <w:sz w:val="24"/>
          <w:szCs w:val="24"/>
        </w:rPr>
        <w:t xml:space="preserve"> </w:t>
      </w:r>
    </w:p>
    <w:p w14:paraId="4F306178" w14:textId="159FB3F9" w:rsidR="00985D8E" w:rsidRPr="00E44C8A" w:rsidRDefault="00985D8E" w:rsidP="009C0961">
      <w:pPr>
        <w:pStyle w:val="Order2"/>
        <w:numPr>
          <w:ilvl w:val="0"/>
          <w:numId w:val="0"/>
        </w:numPr>
        <w:ind w:left="1418" w:hanging="566"/>
        <w:rPr>
          <w:sz w:val="24"/>
          <w:szCs w:val="24"/>
        </w:rPr>
      </w:pPr>
      <w:r w:rsidRPr="00E44C8A">
        <w:rPr>
          <w:sz w:val="24"/>
          <w:szCs w:val="24"/>
        </w:rPr>
        <w:t xml:space="preserve">e) </w:t>
      </w:r>
      <w:r w:rsidR="009C0961" w:rsidRPr="00E44C8A">
        <w:rPr>
          <w:sz w:val="24"/>
          <w:szCs w:val="24"/>
        </w:rPr>
        <w:tab/>
      </w:r>
      <w:r w:rsidRPr="00E44C8A">
        <w:rPr>
          <w:sz w:val="24"/>
          <w:szCs w:val="24"/>
        </w:rPr>
        <w:t>Cleaning and maintaining surrounding road surfaces</w:t>
      </w:r>
      <w:r w:rsidR="009C0961" w:rsidRPr="00E44C8A">
        <w:rPr>
          <w:sz w:val="24"/>
          <w:szCs w:val="24"/>
        </w:rPr>
        <w:t>.</w:t>
      </w:r>
      <w:r w:rsidRPr="00E44C8A">
        <w:rPr>
          <w:sz w:val="24"/>
          <w:szCs w:val="24"/>
        </w:rPr>
        <w:t xml:space="preserve"> </w:t>
      </w:r>
    </w:p>
    <w:p w14:paraId="0E182851" w14:textId="593B2EC5" w:rsidR="00985D8E" w:rsidRPr="00E44C8A" w:rsidRDefault="00985D8E" w:rsidP="009C0961">
      <w:pPr>
        <w:pStyle w:val="Order2"/>
        <w:numPr>
          <w:ilvl w:val="0"/>
          <w:numId w:val="0"/>
        </w:numPr>
        <w:ind w:left="1418" w:hanging="566"/>
        <w:rPr>
          <w:sz w:val="24"/>
          <w:szCs w:val="24"/>
        </w:rPr>
      </w:pPr>
      <w:r w:rsidRPr="00E44C8A">
        <w:rPr>
          <w:sz w:val="24"/>
          <w:szCs w:val="24"/>
        </w:rPr>
        <w:t xml:space="preserve">f) </w:t>
      </w:r>
      <w:r w:rsidR="009C0961" w:rsidRPr="00E44C8A">
        <w:rPr>
          <w:sz w:val="24"/>
          <w:szCs w:val="24"/>
        </w:rPr>
        <w:tab/>
      </w:r>
      <w:r w:rsidRPr="00E44C8A">
        <w:rPr>
          <w:sz w:val="24"/>
          <w:szCs w:val="24"/>
        </w:rPr>
        <w:t>Public safety and site security</w:t>
      </w:r>
      <w:r w:rsidR="009C0961" w:rsidRPr="00E44C8A">
        <w:rPr>
          <w:sz w:val="24"/>
          <w:szCs w:val="24"/>
        </w:rPr>
        <w:t>.</w:t>
      </w:r>
      <w:r w:rsidRPr="00E44C8A">
        <w:rPr>
          <w:sz w:val="24"/>
          <w:szCs w:val="24"/>
        </w:rPr>
        <w:t xml:space="preserve"> </w:t>
      </w:r>
    </w:p>
    <w:p w14:paraId="4FCF583B" w14:textId="7AFDA6FF" w:rsidR="00985D8E" w:rsidRPr="00E44C8A" w:rsidRDefault="00985D8E" w:rsidP="009C0961">
      <w:pPr>
        <w:pStyle w:val="Order2"/>
        <w:numPr>
          <w:ilvl w:val="0"/>
          <w:numId w:val="0"/>
        </w:numPr>
        <w:ind w:left="1418" w:hanging="566"/>
        <w:rPr>
          <w:sz w:val="24"/>
          <w:szCs w:val="24"/>
        </w:rPr>
      </w:pPr>
      <w:r w:rsidRPr="00E44C8A">
        <w:rPr>
          <w:sz w:val="24"/>
          <w:szCs w:val="24"/>
        </w:rPr>
        <w:t xml:space="preserve">g) </w:t>
      </w:r>
      <w:r w:rsidR="009C0961" w:rsidRPr="00E44C8A">
        <w:rPr>
          <w:sz w:val="24"/>
          <w:szCs w:val="24"/>
        </w:rPr>
        <w:tab/>
      </w:r>
      <w:r w:rsidRPr="00E44C8A">
        <w:rPr>
          <w:sz w:val="24"/>
          <w:szCs w:val="24"/>
        </w:rPr>
        <w:t>A plan showing the location of parking areas for construction and subcontractors' vehicles on and surrounding the site, to ensure that vehicles associated with construction activity cause minimum disruption to surrounding premises. Any basement car park on the land must be made available for use by sub-constructors/tradespersons upon completion of such areas, without delay</w:t>
      </w:r>
      <w:r w:rsidR="004B4F8E" w:rsidRPr="00E44C8A">
        <w:rPr>
          <w:sz w:val="24"/>
          <w:szCs w:val="24"/>
        </w:rPr>
        <w:t>.</w:t>
      </w:r>
      <w:r w:rsidRPr="00E44C8A">
        <w:rPr>
          <w:sz w:val="24"/>
          <w:szCs w:val="24"/>
        </w:rPr>
        <w:t xml:space="preserve"> </w:t>
      </w:r>
    </w:p>
    <w:p w14:paraId="6078C119" w14:textId="4250A295" w:rsidR="00985D8E" w:rsidRPr="00E44C8A" w:rsidRDefault="00985D8E" w:rsidP="009C0961">
      <w:pPr>
        <w:pStyle w:val="Order2"/>
        <w:numPr>
          <w:ilvl w:val="0"/>
          <w:numId w:val="0"/>
        </w:numPr>
        <w:ind w:left="1418" w:hanging="566"/>
        <w:rPr>
          <w:sz w:val="24"/>
          <w:szCs w:val="24"/>
        </w:rPr>
      </w:pPr>
      <w:r w:rsidRPr="00E44C8A">
        <w:rPr>
          <w:sz w:val="24"/>
          <w:szCs w:val="24"/>
        </w:rPr>
        <w:t xml:space="preserve">h) </w:t>
      </w:r>
      <w:r w:rsidR="009C0961" w:rsidRPr="00E44C8A">
        <w:rPr>
          <w:sz w:val="24"/>
          <w:szCs w:val="24"/>
        </w:rPr>
        <w:tab/>
      </w:r>
      <w:r w:rsidRPr="00E44C8A">
        <w:rPr>
          <w:sz w:val="24"/>
          <w:szCs w:val="24"/>
        </w:rPr>
        <w:t>A Traffic Management Plan showing truck routes to and from the site</w:t>
      </w:r>
      <w:r w:rsidR="004B4F8E" w:rsidRPr="00E44C8A">
        <w:rPr>
          <w:sz w:val="24"/>
          <w:szCs w:val="24"/>
        </w:rPr>
        <w:t>.</w:t>
      </w:r>
      <w:r w:rsidRPr="00E44C8A">
        <w:rPr>
          <w:sz w:val="24"/>
          <w:szCs w:val="24"/>
        </w:rPr>
        <w:t xml:space="preserve"> </w:t>
      </w:r>
    </w:p>
    <w:p w14:paraId="1394CAFB" w14:textId="24B91BFA" w:rsidR="00985D8E" w:rsidRPr="00E44C8A" w:rsidRDefault="00985D8E" w:rsidP="009C0961">
      <w:pPr>
        <w:pStyle w:val="Order2"/>
        <w:numPr>
          <w:ilvl w:val="0"/>
          <w:numId w:val="0"/>
        </w:numPr>
        <w:ind w:left="1418" w:hanging="566"/>
        <w:rPr>
          <w:sz w:val="24"/>
          <w:szCs w:val="24"/>
        </w:rPr>
      </w:pPr>
      <w:r w:rsidRPr="00E44C8A">
        <w:rPr>
          <w:sz w:val="24"/>
          <w:szCs w:val="24"/>
        </w:rPr>
        <w:t xml:space="preserve">i) </w:t>
      </w:r>
      <w:r w:rsidR="009C0961" w:rsidRPr="00E44C8A">
        <w:rPr>
          <w:sz w:val="24"/>
          <w:szCs w:val="24"/>
        </w:rPr>
        <w:tab/>
      </w:r>
      <w:r w:rsidRPr="00E44C8A">
        <w:rPr>
          <w:sz w:val="24"/>
          <w:szCs w:val="24"/>
        </w:rPr>
        <w:t>Measures to ensure that sub-contractors/tradespersons operating on the site are aware of the contents of the CMP</w:t>
      </w:r>
      <w:r w:rsidR="004B4F8E" w:rsidRPr="00E44C8A">
        <w:rPr>
          <w:sz w:val="24"/>
          <w:szCs w:val="24"/>
        </w:rPr>
        <w:t>.</w:t>
      </w:r>
      <w:r w:rsidRPr="00E44C8A">
        <w:rPr>
          <w:sz w:val="24"/>
          <w:szCs w:val="24"/>
        </w:rPr>
        <w:t xml:space="preserve"> </w:t>
      </w:r>
    </w:p>
    <w:p w14:paraId="4E3BAC11" w14:textId="154DC231" w:rsidR="00985D8E" w:rsidRDefault="00985D8E" w:rsidP="009C0961">
      <w:pPr>
        <w:pStyle w:val="Order2"/>
        <w:numPr>
          <w:ilvl w:val="0"/>
          <w:numId w:val="0"/>
        </w:numPr>
        <w:ind w:left="1418" w:hanging="566"/>
      </w:pPr>
      <w:r w:rsidRPr="00E44C8A">
        <w:rPr>
          <w:sz w:val="24"/>
          <w:szCs w:val="24"/>
        </w:rPr>
        <w:t>j)</w:t>
      </w:r>
      <w:r w:rsidR="009C0961" w:rsidRPr="00E44C8A">
        <w:rPr>
          <w:sz w:val="24"/>
          <w:szCs w:val="24"/>
        </w:rPr>
        <w:tab/>
      </w:r>
      <w:r w:rsidRPr="00E44C8A">
        <w:rPr>
          <w:sz w:val="24"/>
          <w:szCs w:val="24"/>
        </w:rPr>
        <w:t xml:space="preserve"> </w:t>
      </w:r>
      <w:r w:rsidR="009C0961" w:rsidRPr="00E44C8A">
        <w:rPr>
          <w:sz w:val="24"/>
          <w:szCs w:val="24"/>
        </w:rPr>
        <w:t>C</w:t>
      </w:r>
      <w:r w:rsidRPr="00E44C8A">
        <w:rPr>
          <w:sz w:val="24"/>
          <w:szCs w:val="24"/>
        </w:rPr>
        <w:t>ontact details of key construction site staff</w:t>
      </w:r>
      <w:r w:rsidR="004B4F8E" w:rsidRPr="00E44C8A">
        <w:rPr>
          <w:sz w:val="24"/>
          <w:szCs w:val="24"/>
        </w:rPr>
        <w:t>.</w:t>
      </w:r>
      <w:r>
        <w:t xml:space="preserve"> </w:t>
      </w:r>
    </w:p>
    <w:p w14:paraId="6244DA72" w14:textId="6B38A084" w:rsidR="00985D8E" w:rsidRDefault="00985D8E" w:rsidP="00E033F8">
      <w:pPr>
        <w:pStyle w:val="Order2"/>
        <w:numPr>
          <w:ilvl w:val="0"/>
          <w:numId w:val="0"/>
        </w:numPr>
        <w:ind w:left="567"/>
      </w:pPr>
    </w:p>
    <w:p w14:paraId="067D3231" w14:textId="77777777" w:rsidR="00985D8E" w:rsidRDefault="00985D8E" w:rsidP="00985D8E">
      <w:pPr>
        <w:pStyle w:val="Order2"/>
      </w:pPr>
      <w:r>
        <w:t xml:space="preserve">The responsible authority if directed to issue a modified planning permit in accordance with this order.  </w:t>
      </w:r>
    </w:p>
    <w:p w14:paraId="66A2324D" w14:textId="0C8B3A67" w:rsidR="00AB55C0" w:rsidRDefault="00985D8E" w:rsidP="00E44C8A">
      <w:pPr>
        <w:pStyle w:val="Order2"/>
      </w:pPr>
      <w:r>
        <w:t xml:space="preserve">No order as to costs </w:t>
      </w:r>
    </w:p>
    <w:p w14:paraId="0D78C5A1" w14:textId="77777777" w:rsidR="00E44C8A" w:rsidRDefault="00E44C8A" w:rsidP="003B4E63"/>
    <w:p w14:paraId="3F679E47" w14:textId="544C4826" w:rsidR="003B4E63" w:rsidRDefault="003B4E63" w:rsidP="003B4E63">
      <w:r>
        <w:t>Frank Dawson</w:t>
      </w:r>
    </w:p>
    <w:p w14:paraId="3E54344F" w14:textId="052FF2FF" w:rsidR="003B4E63" w:rsidRDefault="003B4E63" w:rsidP="003B4E63">
      <w:pPr>
        <w:pStyle w:val="Order2"/>
        <w:numPr>
          <w:ilvl w:val="0"/>
          <w:numId w:val="0"/>
        </w:numPr>
      </w:pPr>
      <w:r>
        <w:rPr>
          <w:b/>
        </w:rPr>
        <w:t>Member</w:t>
      </w:r>
    </w:p>
    <w:p w14:paraId="7CE7231C" w14:textId="77777777" w:rsidR="0079698C" w:rsidRPr="0079698C" w:rsidRDefault="0079698C" w:rsidP="0079698C">
      <w:pPr>
        <w:pStyle w:val="Para1"/>
        <w:numPr>
          <w:ilvl w:val="0"/>
          <w:numId w:val="0"/>
        </w:numPr>
        <w:ind w:left="567"/>
      </w:pPr>
    </w:p>
    <w:p w14:paraId="300F0F7F" w14:textId="0057518E" w:rsidR="0016352F" w:rsidRDefault="004B5A2F" w:rsidP="0016352F">
      <w:pPr>
        <w:pStyle w:val="Heading1"/>
      </w:pPr>
      <w:r>
        <w:rPr>
          <w:noProof/>
        </w:rPr>
        <w:lastRenderedPageBreak/>
        <w:drawing>
          <wp:anchor distT="0" distB="0" distL="114300" distR="114300" simplePos="0" relativeHeight="251660288" behindDoc="1" locked="0" layoutInCell="1" allowOverlap="1" wp14:anchorId="30E07733" wp14:editId="1FAEE019">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0"/>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6352F">
        <w:t>remarks</w:t>
      </w:r>
    </w:p>
    <w:p w14:paraId="4CD24A7C" w14:textId="77777777" w:rsidR="006A447D" w:rsidRDefault="006A447D" w:rsidP="006A447D">
      <w:pPr>
        <w:pStyle w:val="Para1"/>
      </w:pPr>
      <w:r>
        <w:t xml:space="preserve">Pursuant to section 93(1) of the </w:t>
      </w:r>
      <w:r w:rsidRPr="00756E7D">
        <w:rPr>
          <w:i/>
        </w:rPr>
        <w:t>Victorian Civil and Administrative Tribunal Act 1998</w:t>
      </w:r>
      <w:r>
        <w:t>, this order is made at the request of the parties and with their consent.</w:t>
      </w:r>
    </w:p>
    <w:p w14:paraId="3A805E99" w14:textId="77777777" w:rsidR="006A447D" w:rsidRPr="008F75DC" w:rsidRDefault="006A447D" w:rsidP="006A447D">
      <w:pPr>
        <w:pStyle w:val="Para1"/>
      </w:pPr>
      <w:r>
        <w:t>The Tribunal regards the</w:t>
      </w:r>
      <w:r w:rsidRPr="008F75DC">
        <w:t xml:space="preserve"> consent of the responsible authority to be a confirmation to the Tribunal that:</w:t>
      </w:r>
    </w:p>
    <w:p w14:paraId="69B9EE78" w14:textId="77777777" w:rsidR="006A447D" w:rsidRPr="008F75DC" w:rsidRDefault="006A447D" w:rsidP="006A447D">
      <w:pPr>
        <w:pStyle w:val="Para4"/>
      </w:pPr>
      <w:r w:rsidRPr="008F75DC">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74FC8">
        <w:rPr>
          <w:i/>
        </w:rPr>
        <w:t>1987</w:t>
      </w:r>
      <w:r w:rsidRPr="008F75DC">
        <w:t xml:space="preserve">; </w:t>
      </w:r>
    </w:p>
    <w:p w14:paraId="1CFE5819" w14:textId="77777777" w:rsidR="006A447D" w:rsidRDefault="006A447D" w:rsidP="006A447D">
      <w:pPr>
        <w:pStyle w:val="Para4"/>
      </w:pPr>
      <w:r w:rsidRPr="008F75DC">
        <w:t>the proposed orders will not result in any change to the proposed use or development which would materially affect any person other than the parties to the proceeding.</w:t>
      </w:r>
    </w:p>
    <w:p w14:paraId="64867D23" w14:textId="6C9AEDF0" w:rsidR="0016352F" w:rsidRPr="008F75DC" w:rsidRDefault="006A447D" w:rsidP="00D826D3">
      <w:pPr>
        <w:pStyle w:val="Para1"/>
      </w:pPr>
      <w:r>
        <w:t>Based on the information available to the Tribunal, I consider it is appropriate to make these orders.</w:t>
      </w:r>
    </w:p>
    <w:p w14:paraId="09D7BAAF" w14:textId="7A01A582" w:rsidR="0075339D" w:rsidRDefault="0075339D" w:rsidP="004C59CD"/>
    <w:p w14:paraId="342179F5" w14:textId="77777777" w:rsidR="004C59CD" w:rsidRDefault="004C59CD" w:rsidP="004C59CD"/>
    <w:tbl>
      <w:tblPr>
        <w:tblW w:w="5000" w:type="pct"/>
        <w:tblLook w:val="0000" w:firstRow="0" w:lastRow="0" w:firstColumn="0" w:lastColumn="0" w:noHBand="0" w:noVBand="0"/>
      </w:tblPr>
      <w:tblGrid>
        <w:gridCol w:w="2835"/>
        <w:gridCol w:w="2836"/>
        <w:gridCol w:w="2834"/>
      </w:tblGrid>
      <w:tr w:rsidR="004C59CD" w14:paraId="29CAD2DA" w14:textId="77777777">
        <w:tc>
          <w:tcPr>
            <w:tcW w:w="1667" w:type="pct"/>
          </w:tcPr>
          <w:p w14:paraId="03507031" w14:textId="77777777" w:rsidR="004C59CD" w:rsidRDefault="00F67BF6" w:rsidP="00BD0F70">
            <w:r>
              <w:t>Frank Dawson</w:t>
            </w:r>
          </w:p>
          <w:p w14:paraId="3FECC684" w14:textId="77777777" w:rsidR="004C59CD" w:rsidRDefault="004C59CD" w:rsidP="00BD0F70">
            <w:pPr>
              <w:tabs>
                <w:tab w:val="left" w:pos="1515"/>
              </w:tabs>
              <w:rPr>
                <w:b/>
              </w:rPr>
            </w:pPr>
            <w:r>
              <w:rPr>
                <w:b/>
              </w:rPr>
              <w:t>Member</w:t>
            </w:r>
          </w:p>
        </w:tc>
        <w:tc>
          <w:tcPr>
            <w:tcW w:w="1667" w:type="pct"/>
          </w:tcPr>
          <w:p w14:paraId="79889111" w14:textId="77777777" w:rsidR="004C59CD" w:rsidRDefault="004C59CD" w:rsidP="00BD0F70"/>
        </w:tc>
        <w:tc>
          <w:tcPr>
            <w:tcW w:w="1667" w:type="pct"/>
          </w:tcPr>
          <w:p w14:paraId="0732253A" w14:textId="77777777" w:rsidR="004C59CD" w:rsidRDefault="004C59CD" w:rsidP="00BD0F70"/>
        </w:tc>
      </w:tr>
    </w:tbl>
    <w:p w14:paraId="6507B22F" w14:textId="77777777" w:rsidR="004C59CD" w:rsidRDefault="004C59CD" w:rsidP="004C59CD"/>
    <w:p w14:paraId="734BAFBB" w14:textId="77777777" w:rsidR="00EA6428" w:rsidRDefault="00EA6428" w:rsidP="004C59CD"/>
    <w:p w14:paraId="39A18009" w14:textId="77777777" w:rsidR="004C59CD" w:rsidRDefault="004C59CD" w:rsidP="004C59CD">
      <w:bookmarkStart w:id="16" w:name="DELappearances"/>
    </w:p>
    <w:bookmarkEnd w:id="16"/>
    <w:p w14:paraId="03B9B0B7" w14:textId="77777777" w:rsidR="004C59CD" w:rsidRDefault="004C59CD" w:rsidP="004C59CD"/>
    <w:p w14:paraId="05BD0EFC" w14:textId="124D2D69" w:rsidR="0051639A" w:rsidRDefault="0051639A" w:rsidP="004C59CD">
      <w:pPr>
        <w:rPr>
          <w:b/>
        </w:rPr>
      </w:pPr>
    </w:p>
    <w:sectPr w:rsidR="0051639A">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B47D3" w14:textId="77777777" w:rsidR="00C76DAD" w:rsidRDefault="00C76DAD">
      <w:r>
        <w:separator/>
      </w:r>
    </w:p>
  </w:endnote>
  <w:endnote w:type="continuationSeparator" w:id="0">
    <w:p w14:paraId="56CB532B" w14:textId="77777777" w:rsidR="00C76DAD" w:rsidRDefault="00C7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D86D52" w14:paraId="352EC0D3" w14:textId="77777777">
      <w:trPr>
        <w:cantSplit/>
      </w:trPr>
      <w:tc>
        <w:tcPr>
          <w:tcW w:w="3884" w:type="pct"/>
        </w:tcPr>
        <w:p w14:paraId="34ED4707" w14:textId="29B199FA" w:rsidR="00D86D52" w:rsidRDefault="00D86D52">
          <w:pPr>
            <w:pStyle w:val="Footer"/>
            <w:spacing w:beforeLines="60" w:before="144"/>
            <w:rPr>
              <w:rFonts w:cs="Arial"/>
              <w:sz w:val="18"/>
              <w:szCs w:val="18"/>
            </w:rPr>
          </w:pPr>
          <w:bookmarkStart w:id="17" w:name="FooterDescription"/>
          <w:bookmarkStart w:id="18" w:name="FooterFileNo1"/>
          <w:bookmarkEnd w:id="17"/>
          <w:bookmarkEnd w:id="18"/>
          <w:r>
            <w:rPr>
              <w:rFonts w:cs="Arial"/>
              <w:sz w:val="18"/>
              <w:szCs w:val="18"/>
            </w:rPr>
            <w:t>VCAT Reference No</w:t>
          </w:r>
          <w:r w:rsidR="0051639A">
            <w:rPr>
              <w:rFonts w:cs="Arial"/>
              <w:sz w:val="18"/>
              <w:szCs w:val="18"/>
            </w:rPr>
            <w:t>.</w:t>
          </w:r>
          <w:r>
            <w:rPr>
              <w:rFonts w:cs="Arial"/>
              <w:sz w:val="18"/>
              <w:szCs w:val="18"/>
            </w:rPr>
            <w:t xml:space="preserve"> </w:t>
          </w:r>
          <w:r w:rsidR="004B1C19">
            <w:rPr>
              <w:rFonts w:cs="Arial"/>
              <w:sz w:val="18"/>
              <w:szCs w:val="18"/>
            </w:rPr>
            <w:t>P</w:t>
          </w:r>
          <w:r w:rsidR="008300CB">
            <w:rPr>
              <w:rFonts w:cs="Arial"/>
              <w:sz w:val="18"/>
              <w:szCs w:val="18"/>
            </w:rPr>
            <w:t>1212</w:t>
          </w:r>
          <w:r w:rsidR="009D6461">
            <w:rPr>
              <w:rFonts w:cs="Arial"/>
              <w:sz w:val="18"/>
              <w:szCs w:val="18"/>
            </w:rPr>
            <w:t>/2020</w:t>
          </w:r>
        </w:p>
      </w:tc>
      <w:tc>
        <w:tcPr>
          <w:tcW w:w="1116" w:type="pct"/>
        </w:tcPr>
        <w:p w14:paraId="0DCAB92E" w14:textId="77777777" w:rsidR="00D86D52" w:rsidRDefault="00D86D52">
          <w:pPr>
            <w:pStyle w:val="Footer"/>
            <w:spacing w:beforeLines="60" w:before="144"/>
            <w:jc w:val="right"/>
            <w:rPr>
              <w:rFonts w:cs="Arial"/>
              <w:sz w:val="18"/>
              <w:szCs w:val="18"/>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6A447D">
            <w:rPr>
              <w:rStyle w:val="PageNumber"/>
              <w:rFonts w:cs="Arial"/>
              <w:noProof/>
              <w:sz w:val="18"/>
              <w:szCs w:val="18"/>
            </w:rPr>
            <w:t>2</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sidR="006A447D">
            <w:rPr>
              <w:rStyle w:val="PageNumber"/>
              <w:rFonts w:cs="Arial"/>
              <w:noProof/>
              <w:sz w:val="18"/>
              <w:szCs w:val="18"/>
            </w:rPr>
            <w:t>3</w:t>
          </w:r>
          <w:r>
            <w:rPr>
              <w:rStyle w:val="PageNumber"/>
              <w:rFonts w:cs="Arial"/>
              <w:sz w:val="18"/>
              <w:szCs w:val="18"/>
            </w:rPr>
            <w:fldChar w:fldCharType="end"/>
          </w:r>
        </w:p>
      </w:tc>
    </w:tr>
  </w:tbl>
  <w:p w14:paraId="5DA83172" w14:textId="77777777" w:rsidR="00D86D52" w:rsidRDefault="00D86D52">
    <w:pPr>
      <w:pStyle w:val="Footer"/>
      <w:rPr>
        <w:sz w:val="2"/>
      </w:rPr>
    </w:pPr>
  </w:p>
  <w:p w14:paraId="187DD79B" w14:textId="77777777" w:rsidR="00D86D52" w:rsidRDefault="00D86D52">
    <w:pPr>
      <w:rPr>
        <w:sz w:val="2"/>
      </w:rPr>
    </w:pPr>
  </w:p>
  <w:p w14:paraId="2EC50C15" w14:textId="77777777" w:rsidR="00D86D52" w:rsidRDefault="00D86D5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72997" w14:textId="77777777" w:rsidR="00C76DAD" w:rsidRDefault="00C76DAD">
      <w:pPr>
        <w:pStyle w:val="Footer"/>
        <w:pBdr>
          <w:top w:val="single" w:sz="4" w:space="1" w:color="auto"/>
        </w:pBdr>
        <w:rPr>
          <w:sz w:val="12"/>
        </w:rPr>
      </w:pPr>
    </w:p>
  </w:footnote>
  <w:footnote w:type="continuationSeparator" w:id="0">
    <w:p w14:paraId="4A746E32" w14:textId="77777777" w:rsidR="00C76DAD" w:rsidRDefault="00C76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34E4"/>
    <w:multiLevelType w:val="hybridMultilevel"/>
    <w:tmpl w:val="B114BC3E"/>
    <w:lvl w:ilvl="0" w:tplc="BD666350">
      <w:start w:val="1"/>
      <w:numFmt w:val="lowerRoman"/>
      <w:lvlText w:val="%1."/>
      <w:lvlJc w:val="left"/>
      <w:pPr>
        <w:ind w:left="1494" w:hanging="360"/>
      </w:pPr>
      <w:rPr>
        <w:rFonts w:hint="default"/>
      </w:rPr>
    </w:lvl>
    <w:lvl w:ilvl="1" w:tplc="BCFEF374">
      <w:start w:val="1"/>
      <w:numFmt w:val="bullet"/>
      <w:lvlText w:val="o"/>
      <w:lvlJc w:val="left"/>
      <w:pPr>
        <w:ind w:left="2214" w:hanging="360"/>
      </w:pPr>
      <w:rPr>
        <w:rFonts w:ascii="Courier New" w:hAnsi="Courier New" w:cs="Courier New" w:hint="default"/>
      </w:rPr>
    </w:lvl>
    <w:lvl w:ilvl="2" w:tplc="729E79FA">
      <w:start w:val="1"/>
      <w:numFmt w:val="bullet"/>
      <w:lvlText w:val=""/>
      <w:lvlJc w:val="left"/>
      <w:pPr>
        <w:ind w:left="2934" w:hanging="360"/>
      </w:pPr>
      <w:rPr>
        <w:rFonts w:ascii="Wingdings" w:hAnsi="Wingdings" w:hint="default"/>
      </w:rPr>
    </w:lvl>
    <w:lvl w:ilvl="3" w:tplc="CD0CF278">
      <w:start w:val="1"/>
      <w:numFmt w:val="bullet"/>
      <w:lvlText w:val=""/>
      <w:lvlJc w:val="left"/>
      <w:pPr>
        <w:ind w:left="3654" w:hanging="360"/>
      </w:pPr>
      <w:rPr>
        <w:rFonts w:ascii="Symbol" w:hAnsi="Symbol" w:hint="default"/>
      </w:rPr>
    </w:lvl>
    <w:lvl w:ilvl="4" w:tplc="6D84B878">
      <w:start w:val="1"/>
      <w:numFmt w:val="bullet"/>
      <w:lvlText w:val="o"/>
      <w:lvlJc w:val="left"/>
      <w:pPr>
        <w:ind w:left="4374" w:hanging="360"/>
      </w:pPr>
      <w:rPr>
        <w:rFonts w:ascii="Courier New" w:hAnsi="Courier New" w:cs="Courier New" w:hint="default"/>
      </w:rPr>
    </w:lvl>
    <w:lvl w:ilvl="5" w:tplc="4DC267EA">
      <w:start w:val="1"/>
      <w:numFmt w:val="bullet"/>
      <w:lvlText w:val=""/>
      <w:lvlJc w:val="left"/>
      <w:pPr>
        <w:ind w:left="5094" w:hanging="360"/>
      </w:pPr>
      <w:rPr>
        <w:rFonts w:ascii="Wingdings" w:hAnsi="Wingdings" w:hint="default"/>
      </w:rPr>
    </w:lvl>
    <w:lvl w:ilvl="6" w:tplc="FF24BE5C">
      <w:start w:val="1"/>
      <w:numFmt w:val="bullet"/>
      <w:lvlText w:val=""/>
      <w:lvlJc w:val="left"/>
      <w:pPr>
        <w:ind w:left="5814" w:hanging="360"/>
      </w:pPr>
      <w:rPr>
        <w:rFonts w:ascii="Symbol" w:hAnsi="Symbol" w:hint="default"/>
      </w:rPr>
    </w:lvl>
    <w:lvl w:ilvl="7" w:tplc="68865E08">
      <w:start w:val="1"/>
      <w:numFmt w:val="bullet"/>
      <w:lvlText w:val="o"/>
      <w:lvlJc w:val="left"/>
      <w:pPr>
        <w:ind w:left="6534" w:hanging="360"/>
      </w:pPr>
      <w:rPr>
        <w:rFonts w:ascii="Courier New" w:hAnsi="Courier New" w:cs="Courier New" w:hint="default"/>
      </w:rPr>
    </w:lvl>
    <w:lvl w:ilvl="8" w:tplc="BD9A384E">
      <w:start w:val="1"/>
      <w:numFmt w:val="bullet"/>
      <w:lvlText w:val=""/>
      <w:lvlJc w:val="left"/>
      <w:pPr>
        <w:ind w:left="7254" w:hanging="360"/>
      </w:pPr>
      <w:rPr>
        <w:rFonts w:ascii="Wingdings" w:hAnsi="Wingding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C9613C"/>
    <w:multiLevelType w:val="hybridMultilevel"/>
    <w:tmpl w:val="FB08F0CA"/>
    <w:lvl w:ilvl="0" w:tplc="FFFFFFFF">
      <w:start w:val="1"/>
      <w:numFmt w:val="decimal"/>
      <w:lvlText w:val="%1."/>
      <w:lvlJc w:val="left"/>
      <w:pPr>
        <w:ind w:left="786" w:hanging="360"/>
      </w:pPr>
      <w:rPr>
        <w:i w:val="0"/>
      </w:rPr>
    </w:lvl>
    <w:lvl w:ilvl="1" w:tplc="FFFFFFFF">
      <w:start w:val="1"/>
      <w:numFmt w:val="lowerLetter"/>
      <w:lvlText w:val="%2."/>
      <w:lvlJc w:val="left"/>
      <w:pPr>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1414A"/>
    <w:multiLevelType w:val="hybridMultilevel"/>
    <w:tmpl w:val="8768098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B320147"/>
    <w:multiLevelType w:val="hybridMultilevel"/>
    <w:tmpl w:val="E57EB71A"/>
    <w:lvl w:ilvl="0" w:tplc="FFFFFFFF">
      <w:start w:val="1"/>
      <w:numFmt w:val="lowerLetter"/>
      <w:lvlText w:val="%1)"/>
      <w:lvlJc w:val="left"/>
      <w:pPr>
        <w:ind w:left="21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F262AC3"/>
    <w:multiLevelType w:val="hybridMultilevel"/>
    <w:tmpl w:val="8D72F85A"/>
    <w:lvl w:ilvl="0" w:tplc="FFFFFFFF">
      <w:start w:val="1"/>
      <w:numFmt w:val="lowerLetter"/>
      <w:lvlText w:val="%1)"/>
      <w:lvlJc w:val="left"/>
      <w:pPr>
        <w:ind w:left="720" w:hanging="360"/>
      </w:pPr>
    </w:lvl>
    <w:lvl w:ilvl="1" w:tplc="BD666350">
      <w:start w:val="1"/>
      <w:numFmt w:val="lowerRoman"/>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4261AA"/>
    <w:multiLevelType w:val="hybridMultilevel"/>
    <w:tmpl w:val="1EBA43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E0F31"/>
    <w:multiLevelType w:val="hybridMultilevel"/>
    <w:tmpl w:val="E57EB71A"/>
    <w:lvl w:ilvl="0" w:tplc="FFFFFFFF">
      <w:start w:val="1"/>
      <w:numFmt w:val="lowerLetter"/>
      <w:lvlText w:val="%1)"/>
      <w:lvlJc w:val="left"/>
      <w:pPr>
        <w:ind w:left="21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A8B2EDC"/>
    <w:multiLevelType w:val="hybridMultilevel"/>
    <w:tmpl w:val="BA0A845A"/>
    <w:lvl w:ilvl="0" w:tplc="BD666350">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1C31F31"/>
    <w:multiLevelType w:val="hybridMultilevel"/>
    <w:tmpl w:val="9EE41C60"/>
    <w:lvl w:ilvl="0" w:tplc="FFFFFFFF">
      <w:start w:val="1"/>
      <w:numFmt w:val="lowerRoman"/>
      <w:lvlText w:val="%1."/>
      <w:lvlJc w:val="left"/>
      <w:pPr>
        <w:ind w:left="2880" w:hanging="72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43474812"/>
    <w:multiLevelType w:val="multilevel"/>
    <w:tmpl w:val="2BA845DE"/>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8DE212A"/>
    <w:multiLevelType w:val="hybridMultilevel"/>
    <w:tmpl w:val="04B4EC92"/>
    <w:lvl w:ilvl="0" w:tplc="FFFFFFFF">
      <w:start w:val="1"/>
      <w:numFmt w:val="lowerLetter"/>
      <w:lvlText w:val="%1)"/>
      <w:lvlJc w:val="left"/>
      <w:pPr>
        <w:ind w:left="14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A8F1541"/>
    <w:multiLevelType w:val="hybridMultilevel"/>
    <w:tmpl w:val="21B0DE1C"/>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DE6FA6"/>
    <w:multiLevelType w:val="hybridMultilevel"/>
    <w:tmpl w:val="A7DC3BC2"/>
    <w:lvl w:ilvl="0" w:tplc="FFFFFFFF">
      <w:start w:val="1"/>
      <w:numFmt w:val="lowerLetter"/>
      <w:lvlText w:val="%1)"/>
      <w:lvlJc w:val="left"/>
      <w:pPr>
        <w:ind w:left="1919"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E3D43FF"/>
    <w:multiLevelType w:val="hybridMultilevel"/>
    <w:tmpl w:val="21B0DE1C"/>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3EA7958"/>
    <w:multiLevelType w:val="hybridMultilevel"/>
    <w:tmpl w:val="EBE2CFC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C0E4604"/>
    <w:multiLevelType w:val="hybridMultilevel"/>
    <w:tmpl w:val="71F090A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E9669E8"/>
    <w:multiLevelType w:val="hybridMultilevel"/>
    <w:tmpl w:val="E856F05A"/>
    <w:lvl w:ilvl="0" w:tplc="A1361E26">
      <w:start w:val="1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C11F3C"/>
    <w:multiLevelType w:val="hybridMultilevel"/>
    <w:tmpl w:val="735C2E72"/>
    <w:lvl w:ilvl="0" w:tplc="BD666350">
      <w:start w:val="1"/>
      <w:numFmt w:val="lowerRoman"/>
      <w:lvlText w:val="%1."/>
      <w:lvlJc w:val="left"/>
      <w:pPr>
        <w:ind w:left="1494" w:hanging="360"/>
      </w:pPr>
      <w:rPr>
        <w:rFonts w:hint="default"/>
      </w:rPr>
    </w:lvl>
    <w:lvl w:ilvl="1" w:tplc="BCFEF374">
      <w:start w:val="1"/>
      <w:numFmt w:val="bullet"/>
      <w:lvlText w:val="o"/>
      <w:lvlJc w:val="left"/>
      <w:pPr>
        <w:ind w:left="2214" w:hanging="360"/>
      </w:pPr>
      <w:rPr>
        <w:rFonts w:ascii="Courier New" w:hAnsi="Courier New" w:cs="Courier New" w:hint="default"/>
      </w:rPr>
    </w:lvl>
    <w:lvl w:ilvl="2" w:tplc="729E79FA">
      <w:start w:val="1"/>
      <w:numFmt w:val="bullet"/>
      <w:lvlText w:val=""/>
      <w:lvlJc w:val="left"/>
      <w:pPr>
        <w:ind w:left="2934" w:hanging="360"/>
      </w:pPr>
      <w:rPr>
        <w:rFonts w:ascii="Wingdings" w:hAnsi="Wingdings" w:hint="default"/>
      </w:rPr>
    </w:lvl>
    <w:lvl w:ilvl="3" w:tplc="CD0CF278">
      <w:start w:val="1"/>
      <w:numFmt w:val="bullet"/>
      <w:lvlText w:val=""/>
      <w:lvlJc w:val="left"/>
      <w:pPr>
        <w:ind w:left="3654" w:hanging="360"/>
      </w:pPr>
      <w:rPr>
        <w:rFonts w:ascii="Symbol" w:hAnsi="Symbol" w:hint="default"/>
      </w:rPr>
    </w:lvl>
    <w:lvl w:ilvl="4" w:tplc="6D84B878">
      <w:start w:val="1"/>
      <w:numFmt w:val="bullet"/>
      <w:lvlText w:val="o"/>
      <w:lvlJc w:val="left"/>
      <w:pPr>
        <w:ind w:left="4374" w:hanging="360"/>
      </w:pPr>
      <w:rPr>
        <w:rFonts w:ascii="Courier New" w:hAnsi="Courier New" w:cs="Courier New" w:hint="default"/>
      </w:rPr>
    </w:lvl>
    <w:lvl w:ilvl="5" w:tplc="4DC267EA">
      <w:start w:val="1"/>
      <w:numFmt w:val="bullet"/>
      <w:lvlText w:val=""/>
      <w:lvlJc w:val="left"/>
      <w:pPr>
        <w:ind w:left="5094" w:hanging="360"/>
      </w:pPr>
      <w:rPr>
        <w:rFonts w:ascii="Wingdings" w:hAnsi="Wingdings" w:hint="default"/>
      </w:rPr>
    </w:lvl>
    <w:lvl w:ilvl="6" w:tplc="FF24BE5C">
      <w:start w:val="1"/>
      <w:numFmt w:val="bullet"/>
      <w:lvlText w:val=""/>
      <w:lvlJc w:val="left"/>
      <w:pPr>
        <w:ind w:left="5814" w:hanging="360"/>
      </w:pPr>
      <w:rPr>
        <w:rFonts w:ascii="Symbol" w:hAnsi="Symbol" w:hint="default"/>
      </w:rPr>
    </w:lvl>
    <w:lvl w:ilvl="7" w:tplc="68865E08">
      <w:start w:val="1"/>
      <w:numFmt w:val="bullet"/>
      <w:lvlText w:val="o"/>
      <w:lvlJc w:val="left"/>
      <w:pPr>
        <w:ind w:left="6534" w:hanging="360"/>
      </w:pPr>
      <w:rPr>
        <w:rFonts w:ascii="Courier New" w:hAnsi="Courier New" w:cs="Courier New" w:hint="default"/>
      </w:rPr>
    </w:lvl>
    <w:lvl w:ilvl="8" w:tplc="BD9A384E">
      <w:start w:val="1"/>
      <w:numFmt w:val="bullet"/>
      <w:lvlText w:val=""/>
      <w:lvlJc w:val="left"/>
      <w:pPr>
        <w:ind w:left="7254" w:hanging="360"/>
      </w:pPr>
      <w:rPr>
        <w:rFonts w:ascii="Wingdings" w:hAnsi="Wingdings" w:hint="default"/>
      </w:rPr>
    </w:lvl>
  </w:abstractNum>
  <w:abstractNum w:abstractNumId="2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4"/>
  </w:num>
  <w:num w:numId="4">
    <w:abstractNumId w:val="1"/>
  </w:num>
  <w:num w:numId="5">
    <w:abstractNumId w:val="10"/>
  </w:num>
  <w:num w:numId="6">
    <w:abstractNumId w:val="23"/>
  </w:num>
  <w:num w:numId="7">
    <w:abstractNumId w:val="14"/>
  </w:num>
  <w:num w:numId="8">
    <w:abstractNumId w:val="21"/>
  </w:num>
  <w:num w:numId="9">
    <w:abstractNumId w:val="3"/>
  </w:num>
  <w:num w:numId="10">
    <w:abstractNumId w:val="17"/>
  </w:num>
  <w:num w:numId="11">
    <w:abstractNumId w:val="22"/>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6"/>
  </w:num>
  <w:num w:numId="16">
    <w:abstractNumId w:val="7"/>
  </w:num>
  <w:num w:numId="17">
    <w:abstractNumId w:val="12"/>
  </w:num>
  <w:num w:numId="18">
    <w:abstractNumId w:val="20"/>
  </w:num>
  <w:num w:numId="19">
    <w:abstractNumId w:val="16"/>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8"/>
  </w:num>
  <w:num w:numId="24">
    <w:abstractNumId w:val="5"/>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ekAw74ObehkgnDLo+oPheo4q7VdaKdvx6ZjHB3aJf3xBpCPjNzrhr/Zjkg9MpNwldPMYJ8ntTfi7EaLfsMJhA==" w:salt="3As8k0+kGGMpHRC7lulpxA=="/>
  <w:defaultTabStop w:val="284"/>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972543"/>
    <w:rsid w:val="00010BBD"/>
    <w:rsid w:val="000246D3"/>
    <w:rsid w:val="000A58C2"/>
    <w:rsid w:val="000C757B"/>
    <w:rsid w:val="00132FBB"/>
    <w:rsid w:val="00162FD5"/>
    <w:rsid w:val="0016352F"/>
    <w:rsid w:val="00167924"/>
    <w:rsid w:val="001C2E4C"/>
    <w:rsid w:val="001E378A"/>
    <w:rsid w:val="0020422D"/>
    <w:rsid w:val="0020437E"/>
    <w:rsid w:val="00204E62"/>
    <w:rsid w:val="00251C0A"/>
    <w:rsid w:val="00255E40"/>
    <w:rsid w:val="002B1832"/>
    <w:rsid w:val="002C4EEF"/>
    <w:rsid w:val="002E50EA"/>
    <w:rsid w:val="003156AB"/>
    <w:rsid w:val="00327B2D"/>
    <w:rsid w:val="00346532"/>
    <w:rsid w:val="0035037F"/>
    <w:rsid w:val="00387A9C"/>
    <w:rsid w:val="003A2368"/>
    <w:rsid w:val="003B4E63"/>
    <w:rsid w:val="003C443D"/>
    <w:rsid w:val="003E1B70"/>
    <w:rsid w:val="00420E05"/>
    <w:rsid w:val="00427BDB"/>
    <w:rsid w:val="004405AB"/>
    <w:rsid w:val="0044499D"/>
    <w:rsid w:val="004677EF"/>
    <w:rsid w:val="00470CE5"/>
    <w:rsid w:val="004B1C19"/>
    <w:rsid w:val="004B4F8E"/>
    <w:rsid w:val="004B5A2F"/>
    <w:rsid w:val="004C59CD"/>
    <w:rsid w:val="004D51D6"/>
    <w:rsid w:val="004E7C48"/>
    <w:rsid w:val="00513B88"/>
    <w:rsid w:val="0051639A"/>
    <w:rsid w:val="0051649A"/>
    <w:rsid w:val="005254AA"/>
    <w:rsid w:val="00525BA8"/>
    <w:rsid w:val="00546A5F"/>
    <w:rsid w:val="0058681E"/>
    <w:rsid w:val="005A2D33"/>
    <w:rsid w:val="005F0731"/>
    <w:rsid w:val="005F2958"/>
    <w:rsid w:val="005F3F1E"/>
    <w:rsid w:val="00606732"/>
    <w:rsid w:val="00617A51"/>
    <w:rsid w:val="00621A0A"/>
    <w:rsid w:val="00621F1F"/>
    <w:rsid w:val="0064543A"/>
    <w:rsid w:val="006A447D"/>
    <w:rsid w:val="00725EF8"/>
    <w:rsid w:val="0075339D"/>
    <w:rsid w:val="007557C2"/>
    <w:rsid w:val="00776F24"/>
    <w:rsid w:val="0079698C"/>
    <w:rsid w:val="007C1B32"/>
    <w:rsid w:val="007C5C71"/>
    <w:rsid w:val="008300CB"/>
    <w:rsid w:val="0088134D"/>
    <w:rsid w:val="008B6AD9"/>
    <w:rsid w:val="008C4013"/>
    <w:rsid w:val="008D48E0"/>
    <w:rsid w:val="008F41F9"/>
    <w:rsid w:val="009273FA"/>
    <w:rsid w:val="00935596"/>
    <w:rsid w:val="00946846"/>
    <w:rsid w:val="00972543"/>
    <w:rsid w:val="00985D8E"/>
    <w:rsid w:val="009A0980"/>
    <w:rsid w:val="009A4424"/>
    <w:rsid w:val="009C0961"/>
    <w:rsid w:val="009D6461"/>
    <w:rsid w:val="009E373B"/>
    <w:rsid w:val="009F68F7"/>
    <w:rsid w:val="00A478F5"/>
    <w:rsid w:val="00A576CC"/>
    <w:rsid w:val="00A72085"/>
    <w:rsid w:val="00AB55C0"/>
    <w:rsid w:val="00AB5B8A"/>
    <w:rsid w:val="00AD1021"/>
    <w:rsid w:val="00AD6CFB"/>
    <w:rsid w:val="00AD7765"/>
    <w:rsid w:val="00AF56FB"/>
    <w:rsid w:val="00B363C2"/>
    <w:rsid w:val="00B414F0"/>
    <w:rsid w:val="00B46B80"/>
    <w:rsid w:val="00B5742D"/>
    <w:rsid w:val="00B81F2E"/>
    <w:rsid w:val="00BA2CAD"/>
    <w:rsid w:val="00BB02BA"/>
    <w:rsid w:val="00BB6146"/>
    <w:rsid w:val="00BC21C6"/>
    <w:rsid w:val="00BC5281"/>
    <w:rsid w:val="00BD0F70"/>
    <w:rsid w:val="00BE0DCA"/>
    <w:rsid w:val="00C3366E"/>
    <w:rsid w:val="00C47D95"/>
    <w:rsid w:val="00C62FF2"/>
    <w:rsid w:val="00C63FE5"/>
    <w:rsid w:val="00C76DAD"/>
    <w:rsid w:val="00CB29F5"/>
    <w:rsid w:val="00CC4B67"/>
    <w:rsid w:val="00CE6797"/>
    <w:rsid w:val="00D133FC"/>
    <w:rsid w:val="00D42C0D"/>
    <w:rsid w:val="00D54650"/>
    <w:rsid w:val="00D54C7D"/>
    <w:rsid w:val="00D60FA1"/>
    <w:rsid w:val="00D826D3"/>
    <w:rsid w:val="00D86D52"/>
    <w:rsid w:val="00DD00A6"/>
    <w:rsid w:val="00DD2FC6"/>
    <w:rsid w:val="00DF6116"/>
    <w:rsid w:val="00E033F8"/>
    <w:rsid w:val="00E36AEB"/>
    <w:rsid w:val="00E44C8A"/>
    <w:rsid w:val="00E71F2F"/>
    <w:rsid w:val="00E96599"/>
    <w:rsid w:val="00EA6428"/>
    <w:rsid w:val="00EB1487"/>
    <w:rsid w:val="00EB15E2"/>
    <w:rsid w:val="00EC254C"/>
    <w:rsid w:val="00EE5FDB"/>
    <w:rsid w:val="00EF22C4"/>
    <w:rsid w:val="00F014E4"/>
    <w:rsid w:val="00F5098F"/>
    <w:rsid w:val="00F67BF6"/>
    <w:rsid w:val="00F91E02"/>
    <w:rsid w:val="00FA43F0"/>
    <w:rsid w:val="00FC280C"/>
    <w:rsid w:val="00FD5786"/>
    <w:rsid w:val="00FE1B53"/>
    <w:rsid w:val="00FE3D4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FE5E09"/>
  <w14:defaultImageDpi w14:val="300"/>
  <w15:docId w15:val="{8F7CD612-97AC-9C42-AC6C-7EF20369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6"/>
      <w:szCs w:val="26"/>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pPr>
      <w:numPr>
        <w:numId w:val="4"/>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qFormat/>
    <w:pPr>
      <w:numPr>
        <w:numId w:val="5"/>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semiHidden/>
    <w:pPr>
      <w:ind w:left="567" w:hanging="567"/>
    </w:pPr>
    <w:rPr>
      <w:sz w:val="20"/>
      <w:szCs w:val="20"/>
    </w:rPr>
  </w:style>
  <w:style w:type="character" w:styleId="FootnoteReference">
    <w:name w:val="footnote reference"/>
    <w:basedOn w:val="DefaultParagraphFont"/>
    <w:semiHidden/>
    <w:rPr>
      <w:vertAlign w:val="superscript"/>
    </w:rPr>
  </w:style>
  <w:style w:type="paragraph" w:customStyle="1" w:styleId="Order1">
    <w:name w:val="Order 1"/>
    <w:basedOn w:val="Normal"/>
    <w:qFormat/>
    <w:pPr>
      <w:spacing w:after="120"/>
    </w:pPr>
  </w:style>
  <w:style w:type="paragraph" w:customStyle="1" w:styleId="Order2">
    <w:name w:val="Order 2"/>
    <w:basedOn w:val="Order1"/>
    <w:pPr>
      <w:numPr>
        <w:numId w:val="7"/>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3"/>
      </w:numPr>
    </w:pPr>
  </w:style>
  <w:style w:type="paragraph" w:styleId="BalloonText">
    <w:name w:val="Balloon Text"/>
    <w:basedOn w:val="Normal"/>
    <w:semiHidden/>
    <w:rsid w:val="00D86D52"/>
    <w:rPr>
      <w:rFonts w:ascii="Tahoma" w:hAnsi="Tahoma" w:cs="Tahoma"/>
      <w:sz w:val="16"/>
      <w:szCs w:val="16"/>
    </w:rPr>
  </w:style>
  <w:style w:type="paragraph" w:customStyle="1" w:styleId="Quote3">
    <w:name w:val="Quote 3"/>
    <w:basedOn w:val="Quote2"/>
    <w:pPr>
      <w:numPr>
        <w:numId w:val="6"/>
      </w:numPr>
    </w:pPr>
  </w:style>
  <w:style w:type="paragraph" w:customStyle="1" w:styleId="TitlePage3">
    <w:name w:val="Title Page 3"/>
    <w:basedOn w:val="TitlePage2"/>
    <w:pPr>
      <w:spacing w:before="20" w:after="0"/>
      <w:jc w:val="right"/>
    </w:pPr>
    <w:rPr>
      <w:b w:val="0"/>
      <w:sz w:val="16"/>
    </w:rPr>
  </w:style>
  <w:style w:type="paragraph" w:customStyle="1" w:styleId="Default">
    <w:name w:val="Default"/>
    <w:rsid w:val="00B414F0"/>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44499D"/>
    <w:pPr>
      <w:spacing w:after="200"/>
      <w:ind w:left="720"/>
    </w:pPr>
    <w:rPr>
      <w:rFonts w:ascii="Calibri" w:eastAsia="Calibri" w:hAnsi="Calibri" w:cs="Calibri"/>
      <w:sz w:val="22"/>
      <w:szCs w:val="22"/>
    </w:rPr>
  </w:style>
  <w:style w:type="character" w:customStyle="1" w:styleId="Heading1Char">
    <w:name w:val="Heading 1 Char"/>
    <w:basedOn w:val="DefaultParagraphFont"/>
    <w:link w:val="Heading1"/>
    <w:rsid w:val="00427BDB"/>
    <w:rPr>
      <w:rFonts w:ascii="Arial" w:hAnsi="Arial"/>
      <w:b/>
      <w:bCs/>
      <w:caps/>
      <w:sz w:val="24"/>
      <w:szCs w:val="24"/>
    </w:rPr>
  </w:style>
  <w:style w:type="character" w:customStyle="1" w:styleId="Heading2Char">
    <w:name w:val="Heading 2 Char"/>
    <w:basedOn w:val="DefaultParagraphFont"/>
    <w:link w:val="Heading2"/>
    <w:rsid w:val="00427BDB"/>
    <w:rPr>
      <w:rFonts w:ascii="Arial" w:hAnsi="Arial"/>
      <w:b/>
      <w:iCs/>
      <w:caps/>
      <w:sz w:val="24"/>
      <w:szCs w:val="24"/>
    </w:rPr>
  </w:style>
  <w:style w:type="paragraph" w:customStyle="1" w:styleId="Condition2">
    <w:name w:val="Condition 2"/>
    <w:basedOn w:val="Normal"/>
    <w:qFormat/>
    <w:rsid w:val="00427BDB"/>
    <w:pPr>
      <w:numPr>
        <w:numId w:val="23"/>
      </w:numPr>
      <w:spacing w:after="120" w:line="3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50131fb7100a4586df233605c07a6986">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afef8a5759e399787f4607ecb536e0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8057BF7A-E59F-4F42-BCE2-EA1111995298}">
  <ds:schemaRefs>
    <ds:schemaRef ds:uri="http://schemas.microsoft.com/sharepoint/v3/contenttype/forms"/>
  </ds:schemaRefs>
</ds:datastoreItem>
</file>

<file path=customXml/itemProps2.xml><?xml version="1.0" encoding="utf-8"?>
<ds:datastoreItem xmlns:ds="http://schemas.openxmlformats.org/officeDocument/2006/customXml" ds:itemID="{B4E09CCC-4099-4BB7-98A4-F921F48A2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473C5-AAB5-4009-8ABF-96047956C4B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b869b85-0445-4a49-98bd-5af57bfe952c"/>
    <ds:schemaRef ds:uri="dc52a2e6-3ccd-4a27-abcc-584cde9fa3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679</Words>
  <Characters>3876</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Frank Dawson</dc:creator>
  <cp:keywords/>
  <dc:description/>
  <cp:lastModifiedBy>Rahel BAUM (CSV)</cp:lastModifiedBy>
  <cp:revision>2</cp:revision>
  <cp:lastPrinted>2009-10-09T04:03:00Z</cp:lastPrinted>
  <dcterms:created xsi:type="dcterms:W3CDTF">2021-04-30T02:00:00Z</dcterms:created>
  <dcterms:modified xsi:type="dcterms:W3CDTF">2021-04-30T02:00:00Z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