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E6" w:rsidRPr="003A2DF5" w:rsidRDefault="00A068E6" w:rsidP="00996878">
      <w:pPr>
        <w:pStyle w:val="ActTitle"/>
        <w:rPr>
          <w:rFonts w:cs="Arial"/>
        </w:rPr>
      </w:pPr>
      <w:r w:rsidRPr="003A2DF5">
        <w:rPr>
          <w:rFonts w:cs="Arial"/>
        </w:rPr>
        <w:t>Planning and Environment Act 1987</w:t>
      </w:r>
    </w:p>
    <w:p w:rsidR="00A068E6" w:rsidRPr="003A2DF5" w:rsidRDefault="000E2BBC" w:rsidP="00684895">
      <w:pPr>
        <w:pStyle w:val="Heading1"/>
        <w:rPr>
          <w:rFonts w:cs="Arial"/>
          <w:sz w:val="28"/>
          <w:szCs w:val="28"/>
        </w:rPr>
      </w:pPr>
      <w:r w:rsidRPr="003A2DF5">
        <w:rPr>
          <w:rFonts w:cs="Arial"/>
          <w:sz w:val="28"/>
          <w:szCs w:val="28"/>
        </w:rPr>
        <w:t>MONASH</w:t>
      </w:r>
      <w:r w:rsidR="00A068E6" w:rsidRPr="003A2DF5">
        <w:rPr>
          <w:rFonts w:cs="Arial"/>
          <w:sz w:val="28"/>
          <w:szCs w:val="28"/>
        </w:rPr>
        <w:t xml:space="preserve"> PLANNING SCHEME</w:t>
      </w:r>
    </w:p>
    <w:p w:rsidR="00A068E6" w:rsidRPr="003A2DF5" w:rsidRDefault="00A068E6" w:rsidP="00684895">
      <w:pPr>
        <w:pStyle w:val="Heading1"/>
        <w:rPr>
          <w:rFonts w:cs="Arial"/>
          <w:sz w:val="28"/>
          <w:szCs w:val="28"/>
        </w:rPr>
      </w:pPr>
      <w:r w:rsidRPr="003A2DF5">
        <w:rPr>
          <w:rFonts w:cs="Arial"/>
          <w:sz w:val="28"/>
          <w:szCs w:val="28"/>
        </w:rPr>
        <w:t>AMENDMENT C</w:t>
      </w:r>
      <w:r w:rsidR="00F92F04" w:rsidRPr="00E35E35">
        <w:rPr>
          <w:rFonts w:cs="Arial"/>
          <w:color w:val="000000"/>
          <w:sz w:val="28"/>
          <w:szCs w:val="28"/>
        </w:rPr>
        <w:t>129</w:t>
      </w:r>
    </w:p>
    <w:p w:rsidR="00A068E6" w:rsidRPr="003A2DF5" w:rsidRDefault="006109DA" w:rsidP="00684895">
      <w:pPr>
        <w:pStyle w:val="Heading1"/>
        <w:rPr>
          <w:rFonts w:cs="Arial"/>
          <w:szCs w:val="24"/>
        </w:rPr>
      </w:pPr>
      <w:r w:rsidRPr="003A2DF5">
        <w:rPr>
          <w:rFonts w:cs="Arial"/>
          <w:szCs w:val="24"/>
        </w:rPr>
        <w:t>E</w:t>
      </w:r>
      <w:r w:rsidR="00A068E6" w:rsidRPr="003A2DF5">
        <w:rPr>
          <w:rFonts w:cs="Arial"/>
          <w:szCs w:val="24"/>
        </w:rPr>
        <w:t>XPLANATORY REPORT</w:t>
      </w:r>
    </w:p>
    <w:p w:rsidR="0099691A" w:rsidRDefault="0099691A" w:rsidP="000C275E">
      <w:pPr>
        <w:pStyle w:val="Heading2"/>
      </w:pPr>
    </w:p>
    <w:p w:rsidR="00A068E6" w:rsidRPr="003A2DF5" w:rsidRDefault="00A068E6" w:rsidP="000C275E">
      <w:pPr>
        <w:pStyle w:val="Heading2"/>
      </w:pPr>
      <w:r w:rsidRPr="003A2DF5">
        <w:t>Who is the planning authority?</w:t>
      </w:r>
    </w:p>
    <w:p w:rsidR="00A068E6" w:rsidRPr="003A2DF5" w:rsidRDefault="00A068E6" w:rsidP="000C275E">
      <w:r w:rsidRPr="003A2DF5">
        <w:t xml:space="preserve">This amendment has been prepared by </w:t>
      </w:r>
      <w:r w:rsidR="000E2BBC" w:rsidRPr="003A2DF5">
        <w:t>Monash</w:t>
      </w:r>
      <w:r w:rsidR="00847110">
        <w:t xml:space="preserve"> City Council</w:t>
      </w:r>
      <w:r w:rsidR="00FE71B0" w:rsidRPr="003A2DF5">
        <w:t xml:space="preserve">, </w:t>
      </w:r>
      <w:r w:rsidR="00C93B2C" w:rsidRPr="003A2DF5">
        <w:t>which</w:t>
      </w:r>
      <w:r w:rsidR="005C12D1" w:rsidRPr="003A2DF5">
        <w:t xml:space="preserve"> </w:t>
      </w:r>
      <w:r w:rsidRPr="003A2DF5">
        <w:t>is the planning authority for this amendment.</w:t>
      </w:r>
    </w:p>
    <w:p w:rsidR="00A068E6" w:rsidRPr="003A2DF5" w:rsidRDefault="00855A78" w:rsidP="000C275E">
      <w:r w:rsidRPr="003A2DF5">
        <w:t>The A</w:t>
      </w:r>
      <w:r w:rsidR="00A068E6" w:rsidRPr="003A2DF5">
        <w:t>mendment has been made at the request of</w:t>
      </w:r>
      <w:r w:rsidR="000E2BBC" w:rsidRPr="003A2DF5">
        <w:t xml:space="preserve"> Sterling Global</w:t>
      </w:r>
      <w:r w:rsidR="001C12E2">
        <w:t>, the owners of the site</w:t>
      </w:r>
      <w:r w:rsidR="00A068E6" w:rsidRPr="003A2DF5">
        <w:t>.</w:t>
      </w:r>
    </w:p>
    <w:p w:rsidR="0099691A" w:rsidRDefault="0099691A" w:rsidP="000C275E">
      <w:pPr>
        <w:pStyle w:val="Heading2"/>
      </w:pPr>
    </w:p>
    <w:p w:rsidR="00A068E6" w:rsidRPr="000C275E" w:rsidRDefault="00855A78" w:rsidP="000C275E">
      <w:pPr>
        <w:pStyle w:val="Heading2"/>
      </w:pPr>
      <w:r w:rsidRPr="000C275E">
        <w:t>Land affected by the A</w:t>
      </w:r>
      <w:r w:rsidR="00814A45" w:rsidRPr="000C275E">
        <w:t>mendment</w:t>
      </w:r>
    </w:p>
    <w:p w:rsidR="00A068E6" w:rsidRPr="003A2DF5" w:rsidRDefault="00855A78" w:rsidP="000C275E">
      <w:r w:rsidRPr="003A2DF5">
        <w:t>The A</w:t>
      </w:r>
      <w:r w:rsidR="00A068E6" w:rsidRPr="003A2DF5">
        <w:t>mendment applies to</w:t>
      </w:r>
      <w:r w:rsidR="000E2BBC" w:rsidRPr="003A2DF5">
        <w:t xml:space="preserve"> the land located at 1221-1249 Centre Road, Oakleigh South</w:t>
      </w:r>
      <w:r w:rsidR="00FE71B0" w:rsidRPr="003A2DF5">
        <w:rPr>
          <w:color w:val="FF0000"/>
        </w:rPr>
        <w:t>.</w:t>
      </w:r>
    </w:p>
    <w:p w:rsidR="0099691A" w:rsidRDefault="0099691A" w:rsidP="000C275E">
      <w:pPr>
        <w:pStyle w:val="Heading2"/>
      </w:pPr>
    </w:p>
    <w:p w:rsidR="00A068E6" w:rsidRPr="000C275E" w:rsidRDefault="00814A45" w:rsidP="000C275E">
      <w:pPr>
        <w:pStyle w:val="Heading2"/>
      </w:pPr>
      <w:r w:rsidRPr="000C275E">
        <w:t>What the amendment does</w:t>
      </w:r>
    </w:p>
    <w:p w:rsidR="00CD64B8" w:rsidRPr="003A2DF5" w:rsidRDefault="00855A78" w:rsidP="000C275E">
      <w:r w:rsidRPr="003A2DF5">
        <w:t>The A</w:t>
      </w:r>
      <w:r w:rsidR="001E53D0" w:rsidRPr="003A2DF5">
        <w:t>mendment</w:t>
      </w:r>
      <w:r w:rsidR="003A2DF5" w:rsidRPr="003A2DF5">
        <w:t>:</w:t>
      </w:r>
    </w:p>
    <w:p w:rsidR="0099691A" w:rsidRDefault="0099691A" w:rsidP="00536294">
      <w:pPr>
        <w:numPr>
          <w:ilvl w:val="0"/>
          <w:numId w:val="61"/>
        </w:numPr>
      </w:pPr>
      <w:r>
        <w:t>R</w:t>
      </w:r>
      <w:r w:rsidRPr="003A2DF5">
        <w:t xml:space="preserve">ezones the land at 1221-1249 Centre Road, Oakleigh South </w:t>
      </w:r>
      <w:r>
        <w:t xml:space="preserve">from part Industrial 1 Zone Schedule 2 and General Residential Zone Schedule 2 to the </w:t>
      </w:r>
      <w:r w:rsidRPr="003A2DF5">
        <w:t>Co</w:t>
      </w:r>
      <w:r>
        <w:t>mprehensive Development Zone Schedule 2.</w:t>
      </w:r>
    </w:p>
    <w:p w:rsidR="001E53D0" w:rsidRDefault="00F67448" w:rsidP="00536294">
      <w:pPr>
        <w:numPr>
          <w:ilvl w:val="0"/>
          <w:numId w:val="61"/>
        </w:numPr>
      </w:pPr>
      <w:r w:rsidRPr="003A2DF5">
        <w:t>Introduces Schedule 2 of the Comprehensive Development Zone</w:t>
      </w:r>
      <w:r w:rsidR="0099691A">
        <w:t xml:space="preserve"> to the Monash Planning Scheme.</w:t>
      </w:r>
    </w:p>
    <w:p w:rsidR="0099691A" w:rsidRPr="003A2DF5" w:rsidRDefault="0099691A" w:rsidP="00536294">
      <w:pPr>
        <w:numPr>
          <w:ilvl w:val="0"/>
          <w:numId w:val="61"/>
        </w:numPr>
      </w:pPr>
      <w:r>
        <w:t xml:space="preserve">Makes a minor correction to the boundary of the existing Environmental Audit Overlay to incorporate the whole of </w:t>
      </w:r>
      <w:r w:rsidRPr="003A2DF5">
        <w:t>1221-1249 Centre Road, Oakleigh South</w:t>
      </w:r>
      <w:r>
        <w:t>, within the Overlay.</w:t>
      </w:r>
    </w:p>
    <w:p w:rsidR="00C52490" w:rsidRPr="003A2DF5" w:rsidRDefault="00C52490" w:rsidP="00536294">
      <w:pPr>
        <w:numPr>
          <w:ilvl w:val="0"/>
          <w:numId w:val="61"/>
        </w:numPr>
      </w:pPr>
      <w:r>
        <w:t xml:space="preserve">Amends Clause 21.04 and Clause 22.04 </w:t>
      </w:r>
      <w:r w:rsidR="0099691A">
        <w:t xml:space="preserve">within the </w:t>
      </w:r>
      <w:r>
        <w:t xml:space="preserve">Local Planning Policy Framework to refer to urban renewal sites, including the subject land. </w:t>
      </w:r>
    </w:p>
    <w:p w:rsidR="00F67448" w:rsidRPr="003A2DF5" w:rsidRDefault="00F67448" w:rsidP="00536294">
      <w:pPr>
        <w:numPr>
          <w:ilvl w:val="0"/>
          <w:numId w:val="61"/>
        </w:numPr>
      </w:pPr>
      <w:r w:rsidRPr="003A2DF5">
        <w:t>Amends Schedule 81.01</w:t>
      </w:r>
      <w:r w:rsidR="0099691A">
        <w:t xml:space="preserve"> </w:t>
      </w:r>
      <w:r w:rsidRPr="003A2DF5">
        <w:t xml:space="preserve">(Incorporated Document) to include the </w:t>
      </w:r>
      <w:r w:rsidR="00536294">
        <w:t>C</w:t>
      </w:r>
      <w:r w:rsidRPr="003A2DF5">
        <w:t xml:space="preserve">omprehensive </w:t>
      </w:r>
      <w:r w:rsidR="00536294">
        <w:t>D</w:t>
      </w:r>
      <w:r w:rsidRPr="003A2DF5">
        <w:t xml:space="preserve">evelopment </w:t>
      </w:r>
      <w:r w:rsidR="00536294">
        <w:t>P</w:t>
      </w:r>
      <w:r w:rsidRPr="003A2DF5">
        <w:t xml:space="preserve">lan. </w:t>
      </w:r>
    </w:p>
    <w:p w:rsidR="008C188E" w:rsidRDefault="008C188E" w:rsidP="000C275E">
      <w:pPr>
        <w:pStyle w:val="Heading2"/>
      </w:pPr>
    </w:p>
    <w:p w:rsidR="000C275E" w:rsidRDefault="00A068E6" w:rsidP="000C275E">
      <w:pPr>
        <w:pStyle w:val="Heading2"/>
      </w:pPr>
      <w:r w:rsidRPr="003A2DF5">
        <w:t xml:space="preserve">Strategic assessment of the </w:t>
      </w:r>
      <w:r w:rsidR="00855A78" w:rsidRPr="000C275E">
        <w:t>A</w:t>
      </w:r>
      <w:r w:rsidRPr="000C275E">
        <w:t>mendment</w:t>
      </w:r>
      <w:r w:rsidRPr="003A2DF5">
        <w:t xml:space="preserve"> </w:t>
      </w:r>
    </w:p>
    <w:p w:rsidR="00A068E6" w:rsidRPr="000C275E" w:rsidRDefault="00855A78" w:rsidP="000C275E">
      <w:pPr>
        <w:pStyle w:val="Heading2"/>
      </w:pPr>
      <w:r w:rsidRPr="000C275E">
        <w:t>Why is the A</w:t>
      </w:r>
      <w:r w:rsidR="00A068E6" w:rsidRPr="000C275E">
        <w:t>mendment required?</w:t>
      </w:r>
    </w:p>
    <w:p w:rsidR="00BC3949" w:rsidRDefault="008A66C4" w:rsidP="008A66C4">
      <w:pPr>
        <w:rPr>
          <w:szCs w:val="24"/>
        </w:rPr>
      </w:pPr>
      <w:r w:rsidRPr="00B00F4C">
        <w:t xml:space="preserve">The Amendment is required </w:t>
      </w:r>
      <w:r w:rsidR="0099691A">
        <w:t>because the</w:t>
      </w:r>
      <w:r w:rsidRPr="00B00F4C">
        <w:t xml:space="preserve"> use of the land for extractive industry</w:t>
      </w:r>
      <w:r w:rsidR="001C12E2">
        <w:t xml:space="preserve"> and </w:t>
      </w:r>
      <w:r w:rsidRPr="00B00F4C">
        <w:t xml:space="preserve">landfill purposes ceased over 20 years ago. The site has remained </w:t>
      </w:r>
      <w:r w:rsidR="008C188E">
        <w:t xml:space="preserve">dormant </w:t>
      </w:r>
      <w:r w:rsidRPr="00B00F4C">
        <w:t xml:space="preserve">since that time, and is in need of rehabilitation to improve the environmental condition of the site and enable a new urban use to be established. </w:t>
      </w:r>
      <w:r w:rsidR="00E56E30">
        <w:t>The</w:t>
      </w:r>
      <w:r w:rsidR="000C708D">
        <w:rPr>
          <w:szCs w:val="24"/>
        </w:rPr>
        <w:t xml:space="preserve"> current Special Use Zone – Earth and</w:t>
      </w:r>
      <w:r w:rsidR="000C708D" w:rsidRPr="00271249">
        <w:rPr>
          <w:szCs w:val="24"/>
        </w:rPr>
        <w:t xml:space="preserve"> E</w:t>
      </w:r>
      <w:r w:rsidR="000C708D">
        <w:rPr>
          <w:szCs w:val="24"/>
        </w:rPr>
        <w:t xml:space="preserve">nergy </w:t>
      </w:r>
      <w:r w:rsidR="000C708D" w:rsidRPr="00271249">
        <w:rPr>
          <w:szCs w:val="24"/>
        </w:rPr>
        <w:t>R</w:t>
      </w:r>
      <w:r w:rsidR="000C708D">
        <w:rPr>
          <w:szCs w:val="24"/>
        </w:rPr>
        <w:t xml:space="preserve">esources </w:t>
      </w:r>
      <w:r w:rsidR="000C708D" w:rsidRPr="00271249">
        <w:rPr>
          <w:szCs w:val="24"/>
        </w:rPr>
        <w:t>I</w:t>
      </w:r>
      <w:r w:rsidR="000C708D">
        <w:rPr>
          <w:szCs w:val="24"/>
        </w:rPr>
        <w:t>ndustry</w:t>
      </w:r>
      <w:r w:rsidR="00536294">
        <w:rPr>
          <w:szCs w:val="24"/>
        </w:rPr>
        <w:t xml:space="preserve"> -</w:t>
      </w:r>
      <w:r w:rsidR="000C708D">
        <w:rPr>
          <w:szCs w:val="24"/>
        </w:rPr>
        <w:t xml:space="preserve"> is no longer an appropriate zone for the site.  Similarly the existing current residential zoning of the western part of the site should be changed to allow the environmental issues and constraints to be planned and managed in an appropriate way across the whole of the site. </w:t>
      </w:r>
    </w:p>
    <w:p w:rsidR="000C708D" w:rsidRPr="000C708D" w:rsidRDefault="000C708D" w:rsidP="008A66C4">
      <w:pPr>
        <w:rPr>
          <w:szCs w:val="24"/>
        </w:rPr>
      </w:pPr>
      <w:r>
        <w:rPr>
          <w:szCs w:val="24"/>
        </w:rPr>
        <w:t xml:space="preserve">However, until a full environmental assessment is undertaken, it cannot be confirmed whether the preferred use of the site – as a residential precinct with some mixed uses, and open space areas – is appropriate. </w:t>
      </w:r>
    </w:p>
    <w:p w:rsidR="008A66C4" w:rsidRPr="00B00F4C" w:rsidRDefault="008A66C4" w:rsidP="00290CB8">
      <w:r w:rsidRPr="00B00F4C">
        <w:t xml:space="preserve">The </w:t>
      </w:r>
      <w:r w:rsidR="007A0C35">
        <w:t xml:space="preserve">rezoning </w:t>
      </w:r>
      <w:r w:rsidRPr="00B00F4C">
        <w:t xml:space="preserve">to a </w:t>
      </w:r>
      <w:r>
        <w:t>Comprehensive Development</w:t>
      </w:r>
      <w:r w:rsidRPr="00B00F4C">
        <w:t xml:space="preserve"> Zone </w:t>
      </w:r>
      <w:r w:rsidR="0099691A">
        <w:t xml:space="preserve">(CDZ) </w:t>
      </w:r>
      <w:r>
        <w:t xml:space="preserve">will </w:t>
      </w:r>
      <w:r w:rsidR="00DF1788">
        <w:t xml:space="preserve">allow </w:t>
      </w:r>
      <w:r w:rsidR="0099691A">
        <w:t>the site to be considered for</w:t>
      </w:r>
      <w:r w:rsidR="00DF1788">
        <w:t xml:space="preserve"> </w:t>
      </w:r>
      <w:r w:rsidR="008C188E">
        <w:t>residential or other suitable urban uses</w:t>
      </w:r>
      <w:r w:rsidR="0099691A">
        <w:t xml:space="preserve">. The CDZ will provide sufficient confidence to the land owner that the land can be used for some form of urban use. This will </w:t>
      </w:r>
      <w:r w:rsidR="0099691A">
        <w:lastRenderedPageBreak/>
        <w:t xml:space="preserve">enable the completion of the environmental assessments and the undertaking of required levels of environmental works appropriate to the potential future uses. </w:t>
      </w:r>
      <w:r w:rsidR="00DF1788">
        <w:t xml:space="preserve">The </w:t>
      </w:r>
      <w:r w:rsidR="008C188E">
        <w:t xml:space="preserve">proponent has prepared a </w:t>
      </w:r>
      <w:r w:rsidR="00DF1788">
        <w:t xml:space="preserve">Comprehensive Development Plan </w:t>
      </w:r>
      <w:r w:rsidR="008C188E">
        <w:t>that</w:t>
      </w:r>
      <w:r w:rsidR="00DF1788">
        <w:t xml:space="preserve"> identifies opportunities </w:t>
      </w:r>
      <w:r w:rsidR="008C188E">
        <w:t xml:space="preserve">for an integrated </w:t>
      </w:r>
      <w:r w:rsidR="00536294">
        <w:t>residential</w:t>
      </w:r>
      <w:r w:rsidR="008C188E">
        <w:t xml:space="preserve"> development on the site. </w:t>
      </w:r>
    </w:p>
    <w:p w:rsidR="008C188E" w:rsidRDefault="008C188E" w:rsidP="00290CB8">
      <w:r>
        <w:t xml:space="preserve">The site is within an </w:t>
      </w:r>
      <w:r w:rsidR="008A66C4" w:rsidRPr="00B00F4C">
        <w:t xml:space="preserve">Environmental Audit Overlay </w:t>
      </w:r>
      <w:r>
        <w:t>and the requirements of the Overlay will need to be</w:t>
      </w:r>
      <w:r w:rsidR="008A66C4" w:rsidRPr="00B00F4C">
        <w:t xml:space="preserve"> satisfied before any residential use or development on the site can commence. </w:t>
      </w:r>
      <w:r>
        <w:t xml:space="preserve">The </w:t>
      </w:r>
      <w:r w:rsidR="00BD79BD">
        <w:t>Comprehensive Development Zone contains provisions to address the work required</w:t>
      </w:r>
      <w:r w:rsidR="001C12E2">
        <w:t xml:space="preserve"> by the EAO in a staged manner</w:t>
      </w:r>
      <w:r w:rsidR="00BD79BD">
        <w:t>.</w:t>
      </w:r>
      <w:r>
        <w:t xml:space="preserve"> </w:t>
      </w:r>
      <w:r w:rsidR="00BD79BD">
        <w:t xml:space="preserve">It </w:t>
      </w:r>
      <w:r w:rsidR="008A66C4" w:rsidRPr="00B00F4C">
        <w:t xml:space="preserve">is considered that the Amendment can proceed </w:t>
      </w:r>
      <w:r w:rsidR="001C12E2">
        <w:t>with a</w:t>
      </w:r>
      <w:r w:rsidR="008A66C4">
        <w:t xml:space="preserve"> Comprehensive Development Plan </w:t>
      </w:r>
      <w:r w:rsidR="00BD79BD">
        <w:t>based on preliminary assessments undertaken by the proponent. The</w:t>
      </w:r>
      <w:r w:rsidR="008A66C4">
        <w:t xml:space="preserve"> proposal </w:t>
      </w:r>
      <w:r w:rsidR="00BD79BD">
        <w:t xml:space="preserve">also </w:t>
      </w:r>
      <w:r w:rsidR="008A66C4">
        <w:t xml:space="preserve">provides for alternative uses should </w:t>
      </w:r>
      <w:r w:rsidR="001C12E2">
        <w:t xml:space="preserve">it </w:t>
      </w:r>
      <w:r w:rsidR="008A66C4">
        <w:t>not be possible</w:t>
      </w:r>
      <w:r w:rsidR="001C12E2">
        <w:t xml:space="preserve"> to develop the land for residential purposes or other sensitive uses</w:t>
      </w:r>
      <w:r w:rsidR="008A66C4">
        <w:t>.</w:t>
      </w:r>
      <w:r w:rsidR="00D83554">
        <w:t xml:space="preserve"> The planning application process would require </w:t>
      </w:r>
      <w:r w:rsidR="00536294">
        <w:t>further details</w:t>
      </w:r>
      <w:r w:rsidR="00D83554">
        <w:t xml:space="preserve"> to be submitted to Council for consideration and this process would involve public consultation.</w:t>
      </w:r>
      <w:r w:rsidR="000C708D">
        <w:t xml:space="preserve"> The Schedule to the CDZ sets out issues that are to be addressed as part of </w:t>
      </w:r>
      <w:r w:rsidR="001C12E2">
        <w:t>the planning permit</w:t>
      </w:r>
      <w:r w:rsidR="000C708D">
        <w:t xml:space="preserve"> stage. </w:t>
      </w:r>
      <w:r w:rsidR="00D83554">
        <w:t xml:space="preserve"> </w:t>
      </w:r>
    </w:p>
    <w:p w:rsidR="003411DD" w:rsidRDefault="003411DD" w:rsidP="00290CB8">
      <w:pPr>
        <w:rPr>
          <w:szCs w:val="24"/>
        </w:rPr>
      </w:pPr>
    </w:p>
    <w:p w:rsidR="00A068E6" w:rsidRPr="003A2DF5" w:rsidRDefault="00855A78" w:rsidP="008310E5">
      <w:pPr>
        <w:pStyle w:val="Heading3"/>
        <w:numPr>
          <w:ilvl w:val="0"/>
          <w:numId w:val="0"/>
        </w:numPr>
        <w:jc w:val="left"/>
        <w:rPr>
          <w:rFonts w:ascii="Arial" w:hAnsi="Arial" w:cs="Arial"/>
          <w:szCs w:val="24"/>
        </w:rPr>
      </w:pPr>
      <w:r w:rsidRPr="003A2DF5">
        <w:rPr>
          <w:rFonts w:ascii="Arial" w:hAnsi="Arial" w:cs="Arial"/>
          <w:szCs w:val="24"/>
        </w:rPr>
        <w:t>How does the A</w:t>
      </w:r>
      <w:r w:rsidR="00A068E6" w:rsidRPr="003A2DF5">
        <w:rPr>
          <w:rFonts w:ascii="Arial" w:hAnsi="Arial" w:cs="Arial"/>
          <w:szCs w:val="24"/>
        </w:rPr>
        <w:t>mendment implement the objectives of planning in Victoria?</w:t>
      </w:r>
    </w:p>
    <w:p w:rsidR="00B30186" w:rsidRPr="00B30186" w:rsidRDefault="00B30186" w:rsidP="000C275E">
      <w:pPr>
        <w:rPr>
          <w:color w:val="000000"/>
          <w:szCs w:val="22"/>
        </w:rPr>
      </w:pPr>
      <w:r>
        <w:rPr>
          <w:color w:val="000000"/>
          <w:szCs w:val="22"/>
        </w:rPr>
        <w:t>The amendment implements the following objectives of planning in Victoria contained within Section 4 of the Planning &amp; Environment Act 1987:</w:t>
      </w:r>
    </w:p>
    <w:p w:rsidR="0030757B" w:rsidRDefault="000C275E" w:rsidP="000C275E">
      <w:pPr>
        <w:rPr>
          <w:i/>
          <w:color w:val="000000"/>
          <w:szCs w:val="22"/>
        </w:rPr>
      </w:pPr>
      <w:r w:rsidRPr="000C275E">
        <w:rPr>
          <w:i/>
          <w:color w:val="000000"/>
          <w:szCs w:val="22"/>
        </w:rPr>
        <w:t xml:space="preserve">(a) </w:t>
      </w:r>
      <w:proofErr w:type="gramStart"/>
      <w:r w:rsidRPr="000C275E">
        <w:rPr>
          <w:i/>
          <w:color w:val="000000"/>
          <w:szCs w:val="22"/>
        </w:rPr>
        <w:t>to</w:t>
      </w:r>
      <w:proofErr w:type="gramEnd"/>
      <w:r w:rsidRPr="000C275E">
        <w:rPr>
          <w:i/>
          <w:color w:val="000000"/>
          <w:szCs w:val="22"/>
        </w:rPr>
        <w:t xml:space="preserve"> provide for the fair, orderly, economic and sustainable use, and</w:t>
      </w:r>
      <w:r w:rsidRPr="000C275E">
        <w:rPr>
          <w:rStyle w:val="apple-converted-space"/>
          <w:i/>
          <w:color w:val="000000"/>
          <w:szCs w:val="22"/>
        </w:rPr>
        <w:t> </w:t>
      </w:r>
      <w:r w:rsidR="00EC6855" w:rsidRPr="00EC6855">
        <w:rPr>
          <w:i/>
          <w:szCs w:val="22"/>
        </w:rPr>
        <w:t>development</w:t>
      </w:r>
      <w:r w:rsidRPr="000C275E">
        <w:rPr>
          <w:rStyle w:val="apple-converted-space"/>
          <w:i/>
          <w:color w:val="000000"/>
          <w:szCs w:val="22"/>
        </w:rPr>
        <w:t> </w:t>
      </w:r>
      <w:r w:rsidRPr="000C275E">
        <w:rPr>
          <w:i/>
          <w:color w:val="000000"/>
          <w:szCs w:val="22"/>
        </w:rPr>
        <w:t>of</w:t>
      </w:r>
      <w:r w:rsidRPr="000C275E">
        <w:rPr>
          <w:rStyle w:val="apple-converted-space"/>
          <w:i/>
          <w:color w:val="000000"/>
          <w:szCs w:val="22"/>
        </w:rPr>
        <w:t> </w:t>
      </w:r>
      <w:r w:rsidR="00EC6855" w:rsidRPr="00EC6855">
        <w:rPr>
          <w:i/>
          <w:szCs w:val="22"/>
        </w:rPr>
        <w:t>land</w:t>
      </w:r>
      <w:r w:rsidRPr="000C275E">
        <w:rPr>
          <w:i/>
          <w:color w:val="000000"/>
          <w:szCs w:val="22"/>
        </w:rPr>
        <w:t>;</w:t>
      </w:r>
    </w:p>
    <w:p w:rsidR="00E56E30" w:rsidRPr="00E56E30" w:rsidRDefault="00E56E30" w:rsidP="000C275E">
      <w:pPr>
        <w:rPr>
          <w:color w:val="000000"/>
          <w:szCs w:val="22"/>
        </w:rPr>
      </w:pPr>
      <w:r>
        <w:rPr>
          <w:color w:val="000000"/>
          <w:szCs w:val="22"/>
        </w:rPr>
        <w:t xml:space="preserve">The proposed amendment implements the objectives of planning in Victoria </w:t>
      </w:r>
      <w:r w:rsidR="00536294">
        <w:rPr>
          <w:color w:val="000000"/>
          <w:szCs w:val="22"/>
        </w:rPr>
        <w:t>as</w:t>
      </w:r>
      <w:r>
        <w:rPr>
          <w:color w:val="000000"/>
          <w:szCs w:val="22"/>
        </w:rPr>
        <w:t xml:space="preserve"> it progresses the rehabilitation and more appropriate reuse of a site that </w:t>
      </w:r>
      <w:r w:rsidR="001C12E2">
        <w:rPr>
          <w:color w:val="000000"/>
          <w:szCs w:val="22"/>
        </w:rPr>
        <w:t>has completed its quarry and landfill functions.</w:t>
      </w:r>
    </w:p>
    <w:p w:rsidR="000C275E" w:rsidRDefault="000C275E" w:rsidP="000C275E">
      <w:pPr>
        <w:rPr>
          <w:i/>
          <w:szCs w:val="22"/>
        </w:rPr>
      </w:pPr>
      <w:r w:rsidRPr="000C275E">
        <w:rPr>
          <w:i/>
          <w:szCs w:val="22"/>
        </w:rPr>
        <w:t xml:space="preserve">(c) </w:t>
      </w:r>
      <w:proofErr w:type="gramStart"/>
      <w:r w:rsidRPr="000C275E">
        <w:rPr>
          <w:i/>
          <w:szCs w:val="22"/>
        </w:rPr>
        <w:t>to</w:t>
      </w:r>
      <w:proofErr w:type="gramEnd"/>
      <w:r w:rsidRPr="000C275E">
        <w:rPr>
          <w:i/>
          <w:szCs w:val="22"/>
        </w:rPr>
        <w:t xml:space="preserve"> secure a pleasant, efficient and safe working, living and recreational environment for all Victorians and visitors to Victoria; </w:t>
      </w:r>
    </w:p>
    <w:p w:rsidR="00E56E30" w:rsidRPr="00E56E30" w:rsidRDefault="00E56E30" w:rsidP="000C275E">
      <w:pPr>
        <w:rPr>
          <w:color w:val="000000"/>
          <w:szCs w:val="22"/>
        </w:rPr>
      </w:pPr>
      <w:r>
        <w:rPr>
          <w:szCs w:val="22"/>
        </w:rPr>
        <w:t xml:space="preserve">By </w:t>
      </w:r>
      <w:r w:rsidR="001C12E2">
        <w:rPr>
          <w:szCs w:val="22"/>
        </w:rPr>
        <w:t xml:space="preserve">taking a staged approach to the </w:t>
      </w:r>
      <w:r>
        <w:rPr>
          <w:szCs w:val="22"/>
        </w:rPr>
        <w:t xml:space="preserve">assessment and clean up of the </w:t>
      </w:r>
      <w:proofErr w:type="gramStart"/>
      <w:r>
        <w:rPr>
          <w:szCs w:val="22"/>
        </w:rPr>
        <w:t>site,</w:t>
      </w:r>
      <w:proofErr w:type="gramEnd"/>
      <w:r>
        <w:rPr>
          <w:szCs w:val="22"/>
        </w:rPr>
        <w:t xml:space="preserve"> the opportunities for a more suitable and sensitive land uses can be determined.</w:t>
      </w:r>
    </w:p>
    <w:p w:rsidR="002C2B9D" w:rsidRDefault="00E56E30" w:rsidP="000C275E">
      <w:pPr>
        <w:rPr>
          <w:i/>
          <w:szCs w:val="22"/>
        </w:rPr>
      </w:pPr>
      <w:r>
        <w:t xml:space="preserve"> </w:t>
      </w:r>
      <w:r w:rsidR="002C2B9D">
        <w:t xml:space="preserve">(f)     </w:t>
      </w:r>
      <w:proofErr w:type="gramStart"/>
      <w:r w:rsidR="002C2B9D">
        <w:t>to</w:t>
      </w:r>
      <w:proofErr w:type="gramEnd"/>
      <w:r w:rsidR="002C2B9D">
        <w:t xml:space="preserve"> facilitate </w:t>
      </w:r>
      <w:r w:rsidR="00EC6855" w:rsidRPr="00EC6855">
        <w:t>development</w:t>
      </w:r>
      <w:r w:rsidR="002C2B9D">
        <w:t xml:space="preserve"> in accordance with the objectives set out in paragraphs (a), (b), (c), (d) and (e);</w:t>
      </w:r>
    </w:p>
    <w:p w:rsidR="00847110" w:rsidRPr="00B30186" w:rsidRDefault="00E56E30" w:rsidP="000C275E">
      <w:pPr>
        <w:rPr>
          <w:szCs w:val="22"/>
        </w:rPr>
      </w:pPr>
      <w:r>
        <w:rPr>
          <w:szCs w:val="22"/>
        </w:rPr>
        <w:t>The amendment facilitates the development of otherwise unused land and creates sufficient flexibility for an appropriate future use and development to be considered</w:t>
      </w:r>
      <w:r w:rsidR="001C12E2">
        <w:rPr>
          <w:szCs w:val="22"/>
        </w:rPr>
        <w:t>.</w:t>
      </w:r>
      <w:r w:rsidR="00B30186">
        <w:rPr>
          <w:szCs w:val="22"/>
        </w:rPr>
        <w:t xml:space="preserve"> </w:t>
      </w:r>
    </w:p>
    <w:p w:rsidR="000C708D" w:rsidRDefault="000C708D" w:rsidP="00847110"/>
    <w:p w:rsidR="00A068E6" w:rsidRPr="003A2DF5" w:rsidRDefault="00855A78" w:rsidP="008310E5">
      <w:pPr>
        <w:pStyle w:val="Heading3"/>
        <w:numPr>
          <w:ilvl w:val="0"/>
          <w:numId w:val="0"/>
        </w:numPr>
        <w:jc w:val="left"/>
        <w:rPr>
          <w:rFonts w:ascii="Arial" w:hAnsi="Arial" w:cs="Arial"/>
          <w:szCs w:val="24"/>
        </w:rPr>
      </w:pPr>
      <w:r w:rsidRPr="003A2DF5">
        <w:rPr>
          <w:rFonts w:ascii="Arial" w:hAnsi="Arial" w:cs="Arial"/>
          <w:szCs w:val="24"/>
        </w:rPr>
        <w:t>How does the A</w:t>
      </w:r>
      <w:r w:rsidR="00646305" w:rsidRPr="003A2DF5">
        <w:rPr>
          <w:rFonts w:ascii="Arial" w:hAnsi="Arial" w:cs="Arial"/>
          <w:szCs w:val="24"/>
        </w:rPr>
        <w:t>mendment address any environmenta</w:t>
      </w:r>
      <w:r w:rsidR="00EE21EB" w:rsidRPr="003A2DF5">
        <w:rPr>
          <w:rFonts w:ascii="Arial" w:hAnsi="Arial" w:cs="Arial"/>
          <w:szCs w:val="24"/>
        </w:rPr>
        <w:t>l, social and economic effects?</w:t>
      </w:r>
    </w:p>
    <w:p w:rsidR="008A66C4" w:rsidRPr="00B00F4C" w:rsidRDefault="008A66C4" w:rsidP="008A66C4">
      <w:pPr>
        <w:rPr>
          <w:i/>
          <w:u w:val="single"/>
        </w:rPr>
      </w:pPr>
      <w:r w:rsidRPr="00B00F4C">
        <w:rPr>
          <w:i/>
          <w:u w:val="single"/>
        </w:rPr>
        <w:t>Environmental Effects</w:t>
      </w:r>
    </w:p>
    <w:p w:rsidR="00BC3949" w:rsidRDefault="001C12E2" w:rsidP="002C2B9D">
      <w:r>
        <w:t>By proposing an urban zone, the</w:t>
      </w:r>
      <w:r w:rsidRPr="00FC2AC0">
        <w:t xml:space="preserve"> </w:t>
      </w:r>
      <w:r w:rsidR="00BC3949">
        <w:t>amendment</w:t>
      </w:r>
      <w:r w:rsidR="00BC3949" w:rsidRPr="00FC2AC0">
        <w:t xml:space="preserve"> </w:t>
      </w:r>
      <w:r w:rsidR="008A66C4" w:rsidRPr="00FC2AC0">
        <w:t xml:space="preserve">will </w:t>
      </w:r>
      <w:r w:rsidR="00BC3949">
        <w:t>provide confidence for the land owner to commence the clean-up of the site from its former use and removing an</w:t>
      </w:r>
      <w:r w:rsidR="00BC3949" w:rsidRPr="00290CB8">
        <w:rPr>
          <w:szCs w:val="22"/>
        </w:rPr>
        <w:t xml:space="preserve"> existing urban and environmental blight from the neighbourhood.</w:t>
      </w:r>
    </w:p>
    <w:p w:rsidR="008A66C4" w:rsidRPr="00290CB8" w:rsidRDefault="00E56E30" w:rsidP="001C12E2">
      <w:pPr>
        <w:rPr>
          <w:szCs w:val="22"/>
        </w:rPr>
      </w:pPr>
      <w:r>
        <w:t>The proponents anticipate</w:t>
      </w:r>
      <w:r w:rsidR="00BC3949">
        <w:t xml:space="preserve"> a range of environmental benefits from the future use of the site, including </w:t>
      </w:r>
      <w:r w:rsidR="008A66C4" w:rsidRPr="00C52490">
        <w:t xml:space="preserve">new landscaping, green space and pedestrian/cycle paths </w:t>
      </w:r>
      <w:r w:rsidR="00BC3949">
        <w:t>connecting</w:t>
      </w:r>
      <w:r w:rsidR="008A66C4" w:rsidRPr="00C52490">
        <w:t xml:space="preserve"> to the surrounding local neighbourhood</w:t>
      </w:r>
      <w:r w:rsidR="001C12E2">
        <w:t xml:space="preserve">. Future </w:t>
      </w:r>
      <w:r w:rsidR="00D83554">
        <w:t xml:space="preserve">development and land uses </w:t>
      </w:r>
      <w:r w:rsidR="001C12E2">
        <w:t>will be</w:t>
      </w:r>
      <w:r w:rsidR="00D83554" w:rsidRPr="00C52490">
        <w:t xml:space="preserve"> </w:t>
      </w:r>
      <w:r w:rsidR="008A66C4" w:rsidRPr="00C52490">
        <w:t>more compatible with the surrounding residential environment</w:t>
      </w:r>
      <w:r w:rsidR="00D83554">
        <w:t xml:space="preserve"> than the existing former quarry and landfill</w:t>
      </w:r>
      <w:r w:rsidR="00BC3949">
        <w:t>.</w:t>
      </w:r>
      <w:r w:rsidR="00536294">
        <w:t xml:space="preserve"> These will be assessed as part of </w:t>
      </w:r>
      <w:r w:rsidR="001C12E2">
        <w:t>any future</w:t>
      </w:r>
      <w:r w:rsidR="00536294">
        <w:t xml:space="preserve"> planning application </w:t>
      </w:r>
      <w:r w:rsidR="001C12E2">
        <w:t>process</w:t>
      </w:r>
      <w:r w:rsidR="00536294">
        <w:t>.</w:t>
      </w:r>
    </w:p>
    <w:p w:rsidR="00BC3949" w:rsidRDefault="008A66C4" w:rsidP="008A66C4">
      <w:pPr>
        <w:rPr>
          <w:szCs w:val="22"/>
        </w:rPr>
      </w:pPr>
      <w:r w:rsidRPr="002E47E2">
        <w:rPr>
          <w:szCs w:val="22"/>
        </w:rPr>
        <w:t xml:space="preserve">The </w:t>
      </w:r>
      <w:r w:rsidR="00BD79BD">
        <w:rPr>
          <w:szCs w:val="22"/>
        </w:rPr>
        <w:t>site contains a number of protected trees. The need and justification for removal of these trees has not been assessed as part of</w:t>
      </w:r>
      <w:r w:rsidR="00536294">
        <w:rPr>
          <w:szCs w:val="22"/>
        </w:rPr>
        <w:t xml:space="preserve"> this planning scheme amendment process </w:t>
      </w:r>
      <w:r w:rsidR="00BD79BD">
        <w:rPr>
          <w:szCs w:val="22"/>
        </w:rPr>
        <w:t xml:space="preserve">and separate planning approval, including the provision of arboriculture and flora and fauna assessment, would need to be supplied and assessed by the responsible authority. </w:t>
      </w:r>
    </w:p>
    <w:p w:rsidR="00BC3949" w:rsidRDefault="00BC3949" w:rsidP="008A66C4">
      <w:pPr>
        <w:rPr>
          <w:szCs w:val="22"/>
        </w:rPr>
      </w:pPr>
    </w:p>
    <w:p w:rsidR="008A66C4" w:rsidRDefault="008A66C4" w:rsidP="008A66C4">
      <w:pPr>
        <w:rPr>
          <w:i/>
          <w:szCs w:val="22"/>
          <w:u w:val="single"/>
        </w:rPr>
      </w:pPr>
      <w:r w:rsidRPr="002E47E2">
        <w:rPr>
          <w:i/>
          <w:szCs w:val="22"/>
          <w:u w:val="single"/>
        </w:rPr>
        <w:t>Social and Economic Effects</w:t>
      </w:r>
    </w:p>
    <w:p w:rsidR="00BC3949" w:rsidRDefault="00BC3949" w:rsidP="00BC3949">
      <w:r>
        <w:lastRenderedPageBreak/>
        <w:t>By identifying a clearer direction for the potential future use and development of the site, the amendment will provide greater confidence for the owners that the rehabilitation</w:t>
      </w:r>
      <w:r w:rsidRPr="00C52490">
        <w:t xml:space="preserve"> </w:t>
      </w:r>
      <w:r>
        <w:t xml:space="preserve">and </w:t>
      </w:r>
      <w:r w:rsidRPr="00C52490">
        <w:t>environmental remediation of the site</w:t>
      </w:r>
      <w:r>
        <w:t xml:space="preserve"> is viable. </w:t>
      </w:r>
    </w:p>
    <w:p w:rsidR="00BC3949" w:rsidRDefault="00BD79BD" w:rsidP="00BC3949">
      <w:pPr>
        <w:rPr>
          <w:szCs w:val="22"/>
        </w:rPr>
      </w:pPr>
      <w:r w:rsidRPr="000C708D">
        <w:rPr>
          <w:szCs w:val="22"/>
        </w:rPr>
        <w:t xml:space="preserve">The broad ‘Comprehensive Development Plan’ supplied by the proponent, and the requirement for an Overall Development Plan prior to any use, development or subdivision of the site, </w:t>
      </w:r>
      <w:r w:rsidR="001D3D5A" w:rsidRPr="000C708D">
        <w:rPr>
          <w:szCs w:val="22"/>
        </w:rPr>
        <w:t>provides a coordinated way of achieving the potential</w:t>
      </w:r>
      <w:r w:rsidRPr="000C708D">
        <w:rPr>
          <w:szCs w:val="22"/>
        </w:rPr>
        <w:t xml:space="preserve"> </w:t>
      </w:r>
      <w:r w:rsidR="001C12E2">
        <w:rPr>
          <w:szCs w:val="22"/>
        </w:rPr>
        <w:t>urban development of the land.</w:t>
      </w:r>
    </w:p>
    <w:p w:rsidR="001C12E2" w:rsidRDefault="000C708D" w:rsidP="00BC3949">
      <w:pPr>
        <w:rPr>
          <w:szCs w:val="22"/>
        </w:rPr>
      </w:pPr>
      <w:r w:rsidRPr="000C708D">
        <w:rPr>
          <w:color w:val="000000"/>
          <w:szCs w:val="22"/>
        </w:rPr>
        <w:t xml:space="preserve">These potential benefits, subject to the outcomes of the environmental assessment process, </w:t>
      </w:r>
      <w:r w:rsidR="00536294">
        <w:rPr>
          <w:color w:val="000000"/>
          <w:szCs w:val="22"/>
        </w:rPr>
        <w:t xml:space="preserve">may </w:t>
      </w:r>
      <w:r w:rsidRPr="000C708D">
        <w:rPr>
          <w:color w:val="000000"/>
          <w:szCs w:val="22"/>
        </w:rPr>
        <w:t>include the opportunity for additional and more diverse range of housing options close to the Monash Employment Cluster, new green spaces and pedestri</w:t>
      </w:r>
      <w:r w:rsidR="001C12E2">
        <w:rPr>
          <w:color w:val="000000"/>
          <w:szCs w:val="22"/>
        </w:rPr>
        <w:t>an connections through the site</w:t>
      </w:r>
      <w:r w:rsidRPr="000C708D">
        <w:rPr>
          <w:color w:val="000000"/>
          <w:szCs w:val="22"/>
        </w:rPr>
        <w:t xml:space="preserve"> and the potential for </w:t>
      </w:r>
      <w:r w:rsidR="008A66C4" w:rsidRPr="000C708D">
        <w:rPr>
          <w:color w:val="000000"/>
          <w:szCs w:val="22"/>
        </w:rPr>
        <w:t>a new local convenience node on the site</w:t>
      </w:r>
      <w:r w:rsidR="001C12E2">
        <w:rPr>
          <w:color w:val="000000"/>
          <w:szCs w:val="22"/>
        </w:rPr>
        <w:t>.</w:t>
      </w:r>
    </w:p>
    <w:p w:rsidR="002E47E2" w:rsidRPr="001C12E2" w:rsidRDefault="002E47E2" w:rsidP="00BC3949">
      <w:pPr>
        <w:rPr>
          <w:szCs w:val="22"/>
        </w:rPr>
      </w:pPr>
    </w:p>
    <w:p w:rsidR="0047628B" w:rsidRPr="00FC2AC0" w:rsidRDefault="00855A78" w:rsidP="008310E5">
      <w:pPr>
        <w:pStyle w:val="Heading3"/>
        <w:numPr>
          <w:ilvl w:val="0"/>
          <w:numId w:val="0"/>
        </w:numPr>
        <w:jc w:val="left"/>
        <w:rPr>
          <w:rFonts w:ascii="Arial" w:hAnsi="Arial" w:cs="Arial"/>
          <w:szCs w:val="24"/>
        </w:rPr>
      </w:pPr>
      <w:r w:rsidRPr="00FC2AC0">
        <w:rPr>
          <w:rFonts w:ascii="Arial" w:hAnsi="Arial" w:cs="Arial"/>
          <w:szCs w:val="24"/>
        </w:rPr>
        <w:t>Does the A</w:t>
      </w:r>
      <w:r w:rsidR="0047628B" w:rsidRPr="00FC2AC0">
        <w:rPr>
          <w:rFonts w:ascii="Arial" w:hAnsi="Arial" w:cs="Arial"/>
          <w:szCs w:val="24"/>
        </w:rPr>
        <w:t>mendment address relevant bushfire risk?</w:t>
      </w:r>
    </w:p>
    <w:p w:rsidR="000C708D" w:rsidRDefault="003A2DF5" w:rsidP="008310E5">
      <w:pPr>
        <w:pStyle w:val="StrategicAssessmentText"/>
        <w:ind w:left="0"/>
        <w:jc w:val="left"/>
        <w:rPr>
          <w:rFonts w:cs="Arial"/>
        </w:rPr>
      </w:pPr>
      <w:r w:rsidRPr="00FC2AC0">
        <w:rPr>
          <w:rFonts w:cs="Arial"/>
        </w:rPr>
        <w:t>Not applicable.</w:t>
      </w:r>
    </w:p>
    <w:p w:rsidR="000C708D" w:rsidRPr="00FC2AC0" w:rsidRDefault="000C708D" w:rsidP="008310E5">
      <w:pPr>
        <w:pStyle w:val="StrategicAssessmentText"/>
        <w:ind w:left="0"/>
        <w:jc w:val="left"/>
        <w:rPr>
          <w:rFonts w:cs="Arial"/>
          <w:snapToGrid w:val="0"/>
          <w:szCs w:val="22"/>
          <w:lang w:eastAsia="en-US"/>
        </w:rPr>
      </w:pPr>
    </w:p>
    <w:p w:rsidR="00A068E6" w:rsidRPr="000C708D" w:rsidRDefault="00855A78" w:rsidP="000C708D">
      <w:pPr>
        <w:pStyle w:val="StrategicAssessmentText"/>
        <w:ind w:left="0"/>
        <w:jc w:val="left"/>
        <w:rPr>
          <w:b/>
        </w:rPr>
      </w:pPr>
      <w:r w:rsidRPr="000C708D">
        <w:rPr>
          <w:b/>
        </w:rPr>
        <w:t>Does the A</w:t>
      </w:r>
      <w:r w:rsidR="00A068E6" w:rsidRPr="000C708D">
        <w:rPr>
          <w:b/>
        </w:rPr>
        <w:t>mendment comply with the requirements of any Minister’s Direction applicable to the amendment?</w:t>
      </w:r>
    </w:p>
    <w:p w:rsidR="000C708D" w:rsidRDefault="000C708D" w:rsidP="00FD6F09"/>
    <w:p w:rsidR="00FD6F09" w:rsidRPr="00B00F4C" w:rsidRDefault="00FD6F09" w:rsidP="00FD6F09">
      <w:pPr>
        <w:rPr>
          <w:i/>
          <w:u w:val="single"/>
        </w:rPr>
      </w:pPr>
      <w:r w:rsidRPr="00B00F4C">
        <w:rPr>
          <w:i/>
          <w:u w:val="single"/>
        </w:rPr>
        <w:t>Ministerial Direction 1: Potentially Contaminated Land</w:t>
      </w:r>
    </w:p>
    <w:p w:rsidR="00536294" w:rsidRDefault="00536294" w:rsidP="00D46CFC">
      <w:pPr>
        <w:autoSpaceDE w:val="0"/>
        <w:autoSpaceDN w:val="0"/>
        <w:adjustRightInd w:val="0"/>
        <w:spacing w:before="0"/>
        <w:jc w:val="left"/>
        <w:rPr>
          <w:rFonts w:cs="Arial"/>
        </w:rPr>
      </w:pPr>
    </w:p>
    <w:p w:rsidR="00D46CFC" w:rsidRPr="003F6DFA" w:rsidRDefault="001D3D5A" w:rsidP="00536294">
      <w:pPr>
        <w:autoSpaceDE w:val="0"/>
        <w:autoSpaceDN w:val="0"/>
        <w:adjustRightInd w:val="0"/>
        <w:spacing w:before="0"/>
        <w:rPr>
          <w:rFonts w:cs="Arial"/>
          <w:szCs w:val="22"/>
        </w:rPr>
      </w:pPr>
      <w:r w:rsidRPr="003F6DFA">
        <w:rPr>
          <w:rFonts w:cs="Arial"/>
        </w:rPr>
        <w:t>The process proposes an alternative approach to addressing the require</w:t>
      </w:r>
      <w:r w:rsidR="000C708D" w:rsidRPr="003F6DFA">
        <w:rPr>
          <w:rFonts w:cs="Arial"/>
        </w:rPr>
        <w:t xml:space="preserve">ments of Ministerial Direction No. </w:t>
      </w:r>
      <w:r w:rsidRPr="003F6DFA">
        <w:rPr>
          <w:rFonts w:cs="Arial"/>
        </w:rPr>
        <w:t>1.</w:t>
      </w:r>
    </w:p>
    <w:p w:rsidR="00D46CFC" w:rsidRPr="003F6DFA" w:rsidRDefault="00D46CFC" w:rsidP="00536294">
      <w:pPr>
        <w:autoSpaceDE w:val="0"/>
        <w:autoSpaceDN w:val="0"/>
        <w:adjustRightInd w:val="0"/>
        <w:spacing w:before="0"/>
        <w:rPr>
          <w:rFonts w:cs="Arial"/>
          <w:szCs w:val="22"/>
        </w:rPr>
      </w:pPr>
    </w:p>
    <w:p w:rsidR="00290CB8" w:rsidRPr="003F6DFA" w:rsidRDefault="00D46CFC" w:rsidP="00536294">
      <w:pPr>
        <w:autoSpaceDE w:val="0"/>
        <w:autoSpaceDN w:val="0"/>
        <w:adjustRightInd w:val="0"/>
        <w:spacing w:before="0"/>
        <w:rPr>
          <w:rFonts w:cs="Arial"/>
          <w:szCs w:val="24"/>
        </w:rPr>
      </w:pPr>
      <w:r w:rsidRPr="003F6DFA">
        <w:rPr>
          <w:rFonts w:cs="Arial"/>
          <w:szCs w:val="24"/>
        </w:rPr>
        <w:t xml:space="preserve">The site is currently within an Environmental Overlay and, as a former landfill, is categorised as a “high risk” site under the EPA framework for dealing with contamination.  The current regulatory approach to dealing with these sites requires that a Statement or certificate of Environmental Audit in accordance with Section 53Z of the Environment Protection Act 1970 for the site should be provided to Council prior to any consideration of a planning scheme amendment request.   This would provide certainty that the land is capable of being used for residential purposes prior to being rezoned. </w:t>
      </w:r>
    </w:p>
    <w:p w:rsidR="00290CB8" w:rsidRPr="003F6DFA" w:rsidRDefault="00290CB8" w:rsidP="00536294">
      <w:pPr>
        <w:autoSpaceDE w:val="0"/>
        <w:autoSpaceDN w:val="0"/>
        <w:adjustRightInd w:val="0"/>
        <w:spacing w:before="0"/>
        <w:rPr>
          <w:rFonts w:cs="Arial"/>
          <w:szCs w:val="24"/>
        </w:rPr>
      </w:pPr>
    </w:p>
    <w:p w:rsidR="000A4FA5" w:rsidRPr="00536294" w:rsidRDefault="00D46CFC" w:rsidP="00536294">
      <w:pPr>
        <w:autoSpaceDE w:val="0"/>
        <w:autoSpaceDN w:val="0"/>
        <w:adjustRightInd w:val="0"/>
        <w:spacing w:before="0"/>
        <w:rPr>
          <w:rFonts w:eastAsia="Calibri" w:cs="Arial"/>
          <w:lang w:val="en-US" w:eastAsia="en-US"/>
        </w:rPr>
      </w:pPr>
      <w:r w:rsidRPr="003F6DFA">
        <w:rPr>
          <w:rFonts w:cs="Arial"/>
          <w:szCs w:val="24"/>
        </w:rPr>
        <w:t>However</w:t>
      </w:r>
      <w:r w:rsidRPr="003F6DFA">
        <w:rPr>
          <w:rFonts w:cs="Arial"/>
        </w:rPr>
        <w:t xml:space="preserve"> </w:t>
      </w:r>
      <w:r w:rsidRPr="003F6DFA">
        <w:rPr>
          <w:rFonts w:eastAsia="Calibri" w:cs="Arial"/>
          <w:lang w:val="en-US" w:eastAsia="en-US"/>
        </w:rPr>
        <w:t xml:space="preserve">the Victorian State Government commissioned a review of this approach </w:t>
      </w:r>
      <w:r w:rsidR="000A4FA5" w:rsidRPr="003F6DFA">
        <w:rPr>
          <w:rFonts w:eastAsia="Calibri" w:cs="Arial"/>
          <w:lang w:val="en-US" w:eastAsia="en-US"/>
        </w:rPr>
        <w:t xml:space="preserve">in 2012, and the </w:t>
      </w:r>
      <w:r w:rsidRPr="003F6DFA">
        <w:rPr>
          <w:rFonts w:eastAsia="Calibri" w:cs="Arial"/>
          <w:lang w:val="en-US" w:eastAsia="en-US"/>
        </w:rPr>
        <w:t>Potentially Contaminated Land Advisory Committee report 2012</w:t>
      </w:r>
      <w:r w:rsidR="000A4FA5" w:rsidRPr="003F6DFA">
        <w:rPr>
          <w:rFonts w:eastAsia="Calibri" w:cs="Arial"/>
          <w:lang w:val="en-US" w:eastAsia="en-US"/>
        </w:rPr>
        <w:t xml:space="preserve"> proposes alternative measures to address the requirements of the Ministerial Direction No. 1. </w:t>
      </w:r>
      <w:r w:rsidR="00536294">
        <w:rPr>
          <w:rFonts w:eastAsia="Calibri" w:cs="Arial"/>
          <w:lang w:val="en-US" w:eastAsia="en-US"/>
        </w:rPr>
        <w:t xml:space="preserve"> </w:t>
      </w:r>
      <w:r w:rsidR="000A4FA5" w:rsidRPr="003F6DFA">
        <w:rPr>
          <w:rFonts w:eastAsia="Calibri" w:cs="Arial"/>
          <w:lang w:val="en-US" w:eastAsia="en-US"/>
        </w:rPr>
        <w:t xml:space="preserve">Applicable to this proposal, it identifies an approach which </w:t>
      </w:r>
      <w:proofErr w:type="spellStart"/>
      <w:r w:rsidR="000A4FA5" w:rsidRPr="003F6DFA">
        <w:rPr>
          <w:rFonts w:eastAsia="Calibri" w:cs="Arial"/>
          <w:lang w:val="en-US" w:eastAsia="en-US"/>
        </w:rPr>
        <w:t>recognises</w:t>
      </w:r>
      <w:proofErr w:type="spellEnd"/>
      <w:r w:rsidR="000A4FA5" w:rsidRPr="003F6DFA">
        <w:rPr>
          <w:rFonts w:eastAsia="Calibri" w:cs="Arial"/>
          <w:lang w:val="en-US" w:eastAsia="en-US"/>
        </w:rPr>
        <w:t xml:space="preserve"> the costs involved in site </w:t>
      </w:r>
      <w:r w:rsidR="000A4FA5" w:rsidRPr="003F6DFA">
        <w:rPr>
          <w:rFonts w:eastAsia="Calibri" w:cs="Arial"/>
          <w:szCs w:val="22"/>
          <w:lang w:val="en-US" w:eastAsia="en-US"/>
        </w:rPr>
        <w:t>remediation</w:t>
      </w:r>
      <w:r w:rsidR="007C0F33">
        <w:rPr>
          <w:rFonts w:eastAsia="Calibri" w:cs="Arial"/>
          <w:szCs w:val="22"/>
          <w:lang w:val="en-US" w:eastAsia="en-US"/>
        </w:rPr>
        <w:t xml:space="preserve">. It </w:t>
      </w:r>
      <w:proofErr w:type="spellStart"/>
      <w:r w:rsidR="007C0F33">
        <w:rPr>
          <w:rFonts w:eastAsia="Calibri" w:cs="Arial"/>
          <w:szCs w:val="22"/>
          <w:lang w:val="en-US" w:eastAsia="en-US"/>
        </w:rPr>
        <w:t>recognises</w:t>
      </w:r>
      <w:proofErr w:type="spellEnd"/>
      <w:r w:rsidR="000A4FA5" w:rsidRPr="003F6DFA">
        <w:rPr>
          <w:rFonts w:eastAsia="Calibri" w:cs="Arial"/>
          <w:szCs w:val="22"/>
          <w:lang w:val="en-US" w:eastAsia="en-US"/>
        </w:rPr>
        <w:t xml:space="preserve"> the confidence a land owner needs, all other things being equal, </w:t>
      </w:r>
      <w:r w:rsidR="007C0F33">
        <w:rPr>
          <w:rFonts w:eastAsia="Calibri" w:cs="Arial"/>
          <w:szCs w:val="22"/>
          <w:lang w:val="en-US" w:eastAsia="en-US"/>
        </w:rPr>
        <w:t xml:space="preserve">that </w:t>
      </w:r>
      <w:r w:rsidR="000A4FA5" w:rsidRPr="003F6DFA">
        <w:rPr>
          <w:rFonts w:eastAsia="Calibri" w:cs="Arial"/>
          <w:szCs w:val="22"/>
          <w:lang w:val="en-US" w:eastAsia="en-US"/>
        </w:rPr>
        <w:t xml:space="preserve">the land is capable for residential or other sensitive uses before making this expenditure. </w:t>
      </w:r>
    </w:p>
    <w:p w:rsidR="000A4FA5" w:rsidRPr="003F6DFA" w:rsidRDefault="000A4FA5" w:rsidP="00536294">
      <w:pPr>
        <w:autoSpaceDE w:val="0"/>
        <w:autoSpaceDN w:val="0"/>
        <w:adjustRightInd w:val="0"/>
        <w:spacing w:before="0"/>
        <w:rPr>
          <w:rFonts w:eastAsia="Calibri" w:cs="Arial"/>
          <w:szCs w:val="22"/>
          <w:lang w:val="en-US" w:eastAsia="en-US"/>
        </w:rPr>
      </w:pPr>
    </w:p>
    <w:p w:rsidR="000A4FA5" w:rsidRPr="003F6DFA" w:rsidRDefault="000A4FA5" w:rsidP="00536294">
      <w:pPr>
        <w:autoSpaceDE w:val="0"/>
        <w:autoSpaceDN w:val="0"/>
        <w:adjustRightInd w:val="0"/>
        <w:spacing w:before="0"/>
        <w:rPr>
          <w:rFonts w:eastAsia="Calibri" w:cs="Arial"/>
          <w:szCs w:val="22"/>
          <w:lang w:val="en-US" w:eastAsia="en-US"/>
        </w:rPr>
      </w:pPr>
      <w:r w:rsidRPr="003F6DFA">
        <w:rPr>
          <w:rFonts w:eastAsia="Calibri" w:cs="Arial"/>
          <w:szCs w:val="22"/>
          <w:lang w:val="en-US" w:eastAsia="en-US"/>
        </w:rPr>
        <w:t>Following the approach in the Advisory Committee’s report, the</w:t>
      </w:r>
      <w:r w:rsidR="00D46CFC" w:rsidRPr="003F6DFA">
        <w:rPr>
          <w:rFonts w:cs="Arial"/>
          <w:szCs w:val="22"/>
        </w:rPr>
        <w:t xml:space="preserve"> owners have requested that a staged approach to the remediation process be taken.  This approach proposes to delay the completion of the environmental audit until prior to the commencement of redevelopment. This provides certainty about the rezoning to an urban zone, allowing planning permits to be issued for a range of urban uses and provides flexibility to progressively remediate the site to standard that suits the proposed uses. </w:t>
      </w:r>
    </w:p>
    <w:p w:rsidR="000A4FA5" w:rsidRPr="00290CB8" w:rsidRDefault="000A4FA5" w:rsidP="00536294">
      <w:pPr>
        <w:autoSpaceDE w:val="0"/>
        <w:autoSpaceDN w:val="0"/>
        <w:adjustRightInd w:val="0"/>
        <w:spacing w:before="0"/>
        <w:rPr>
          <w:rFonts w:eastAsia="Calibri" w:cs="Arial"/>
          <w:szCs w:val="22"/>
          <w:lang w:val="en-US" w:eastAsia="en-US"/>
        </w:rPr>
      </w:pPr>
    </w:p>
    <w:p w:rsidR="003F6DFA" w:rsidRDefault="00D46CFC" w:rsidP="00536294">
      <w:pPr>
        <w:autoSpaceDE w:val="0"/>
        <w:autoSpaceDN w:val="0"/>
        <w:adjustRightInd w:val="0"/>
        <w:spacing w:before="0"/>
        <w:rPr>
          <w:rFonts w:cs="Arial"/>
          <w:szCs w:val="22"/>
        </w:rPr>
      </w:pPr>
      <w:r w:rsidRPr="00DD2CBC">
        <w:rPr>
          <w:rFonts w:cs="Arial"/>
          <w:color w:val="000000"/>
          <w:szCs w:val="22"/>
        </w:rPr>
        <w:t>The approach proposed involves the use of a Comprehensive Development Zone (CD</w:t>
      </w:r>
      <w:r w:rsidR="000A4FA5" w:rsidRPr="00DD2CBC">
        <w:rPr>
          <w:rFonts w:cs="Arial"/>
          <w:color w:val="000000"/>
          <w:szCs w:val="22"/>
        </w:rPr>
        <w:t xml:space="preserve">Z). </w:t>
      </w:r>
      <w:r w:rsidR="007C0F33" w:rsidRPr="00DD2CBC">
        <w:rPr>
          <w:rFonts w:cs="Arial"/>
          <w:color w:val="000000"/>
          <w:szCs w:val="22"/>
        </w:rPr>
        <w:t>Schedule 2 to the Comprehensive Development Zone</w:t>
      </w:r>
      <w:r w:rsidR="003F6DFA" w:rsidRPr="00DD2CBC">
        <w:rPr>
          <w:rFonts w:cs="Arial"/>
          <w:color w:val="000000"/>
          <w:szCs w:val="22"/>
        </w:rPr>
        <w:t xml:space="preserve"> </w:t>
      </w:r>
      <w:r w:rsidR="007C0F33" w:rsidRPr="00DD2CBC">
        <w:rPr>
          <w:rFonts w:cs="Arial"/>
          <w:color w:val="000000"/>
          <w:szCs w:val="22"/>
        </w:rPr>
        <w:t>will require</w:t>
      </w:r>
      <w:r w:rsidR="003F6DFA" w:rsidRPr="00DD2CBC">
        <w:rPr>
          <w:rFonts w:cs="Arial"/>
          <w:color w:val="000000"/>
          <w:szCs w:val="22"/>
        </w:rPr>
        <w:t xml:space="preserve"> the</w:t>
      </w:r>
      <w:r w:rsidR="000A4FA5" w:rsidRPr="00DD2CBC">
        <w:rPr>
          <w:rFonts w:cs="Arial"/>
          <w:color w:val="000000"/>
          <w:szCs w:val="22"/>
        </w:rPr>
        <w:t xml:space="preserve"> </w:t>
      </w:r>
      <w:r w:rsidRPr="00DD2CBC">
        <w:rPr>
          <w:rFonts w:cs="Arial"/>
          <w:color w:val="000000"/>
          <w:szCs w:val="22"/>
        </w:rPr>
        <w:t>submission of</w:t>
      </w:r>
      <w:r w:rsidR="003F6DFA" w:rsidRPr="00DD2CBC">
        <w:rPr>
          <w:rFonts w:cs="Arial"/>
          <w:color w:val="000000"/>
          <w:szCs w:val="22"/>
        </w:rPr>
        <w:t xml:space="preserve"> two documents </w:t>
      </w:r>
      <w:r w:rsidR="003F6DFA" w:rsidRPr="00DD2CBC">
        <w:rPr>
          <w:rFonts w:cs="Arial"/>
          <w:szCs w:val="22"/>
        </w:rPr>
        <w:t>endorsed by an EPA approved auditor to accompany any planning application:</w:t>
      </w:r>
      <w:r w:rsidR="003F6DFA">
        <w:rPr>
          <w:rFonts w:cs="Arial"/>
          <w:szCs w:val="22"/>
        </w:rPr>
        <w:br/>
      </w:r>
    </w:p>
    <w:p w:rsidR="00D46CFC" w:rsidRPr="00290CB8" w:rsidRDefault="00D46CFC" w:rsidP="00536294">
      <w:pPr>
        <w:numPr>
          <w:ilvl w:val="0"/>
          <w:numId w:val="63"/>
        </w:numPr>
        <w:autoSpaceDE w:val="0"/>
        <w:autoSpaceDN w:val="0"/>
        <w:adjustRightInd w:val="0"/>
        <w:spacing w:before="0" w:line="20" w:lineRule="atLeast"/>
        <w:jc w:val="left"/>
        <w:rPr>
          <w:rFonts w:cs="Arial"/>
          <w:color w:val="000000"/>
          <w:szCs w:val="22"/>
        </w:rPr>
      </w:pPr>
      <w:r w:rsidRPr="00290CB8">
        <w:rPr>
          <w:rFonts w:cs="Arial"/>
          <w:color w:val="000000"/>
          <w:szCs w:val="22"/>
        </w:rPr>
        <w:t>A Site Environmental Strategy Plan (SESP); and</w:t>
      </w:r>
    </w:p>
    <w:p w:rsidR="00D46CFC" w:rsidRPr="00290CB8" w:rsidRDefault="00D46CFC" w:rsidP="00536294">
      <w:pPr>
        <w:pStyle w:val="ListParagraph"/>
        <w:numPr>
          <w:ilvl w:val="0"/>
          <w:numId w:val="63"/>
        </w:numPr>
        <w:spacing w:after="0" w:line="20" w:lineRule="atLeast"/>
        <w:jc w:val="both"/>
        <w:rPr>
          <w:rFonts w:cs="Arial"/>
          <w:color w:val="000000"/>
          <w:sz w:val="22"/>
          <w:szCs w:val="22"/>
        </w:rPr>
      </w:pPr>
      <w:r w:rsidRPr="00290CB8">
        <w:rPr>
          <w:rFonts w:cs="Arial"/>
          <w:color w:val="000000"/>
          <w:sz w:val="22"/>
          <w:szCs w:val="22"/>
        </w:rPr>
        <w:t>An Environmental Site Assessment (ESP).</w:t>
      </w:r>
    </w:p>
    <w:p w:rsidR="000A4FA5" w:rsidRPr="00290CB8" w:rsidRDefault="00D46CFC" w:rsidP="001D3D5A">
      <w:pPr>
        <w:spacing w:line="276" w:lineRule="auto"/>
        <w:rPr>
          <w:rFonts w:cs="Arial"/>
          <w:szCs w:val="22"/>
        </w:rPr>
      </w:pPr>
      <w:r w:rsidRPr="00290CB8">
        <w:rPr>
          <w:rFonts w:cs="Arial"/>
          <w:szCs w:val="22"/>
        </w:rPr>
        <w:lastRenderedPageBreak/>
        <w:t>Once a planning permit has issued an audit will need to und</w:t>
      </w:r>
      <w:r w:rsidR="000C708D">
        <w:rPr>
          <w:rFonts w:cs="Arial"/>
          <w:szCs w:val="22"/>
        </w:rPr>
        <w:t xml:space="preserve">ertaken and state that the land </w:t>
      </w:r>
      <w:r w:rsidRPr="00290CB8">
        <w:rPr>
          <w:rFonts w:cs="Arial"/>
          <w:szCs w:val="22"/>
        </w:rPr>
        <w:t>is fit for the purpose provided for by the planning permit. This audit will need to occur prior to any development commencing on the site. Should the audit find that residential development is not possible given the contamination le</w:t>
      </w:r>
      <w:r w:rsidR="00CB3B68">
        <w:rPr>
          <w:rFonts w:cs="Arial"/>
          <w:szCs w:val="22"/>
        </w:rPr>
        <w:t xml:space="preserve">vels of the site, the proposed Comprehensive Development Zone </w:t>
      </w:r>
      <w:r w:rsidRPr="00290CB8">
        <w:rPr>
          <w:rFonts w:cs="Arial"/>
          <w:szCs w:val="22"/>
        </w:rPr>
        <w:t xml:space="preserve">will allow for consideration of a range of commercial and other non-sensitive </w:t>
      </w:r>
      <w:proofErr w:type="gramStart"/>
      <w:r w:rsidRPr="00290CB8">
        <w:rPr>
          <w:rFonts w:cs="Arial"/>
          <w:szCs w:val="22"/>
        </w:rPr>
        <w:t>uses</w:t>
      </w:r>
      <w:r w:rsidR="001D3D5A">
        <w:rPr>
          <w:rFonts w:cs="Arial"/>
          <w:szCs w:val="22"/>
        </w:rPr>
        <w:t>.</w:t>
      </w:r>
      <w:proofErr w:type="gramEnd"/>
      <w:r w:rsidR="003411DD" w:rsidRPr="00290CB8">
        <w:rPr>
          <w:rFonts w:cs="Arial"/>
          <w:szCs w:val="22"/>
        </w:rPr>
        <w:t xml:space="preserve"> </w:t>
      </w:r>
    </w:p>
    <w:p w:rsidR="000A4FA5" w:rsidRDefault="000A4FA5" w:rsidP="000A4FA5">
      <w:pPr>
        <w:spacing w:line="276" w:lineRule="auto"/>
        <w:rPr>
          <w:szCs w:val="24"/>
        </w:rPr>
      </w:pPr>
    </w:p>
    <w:p w:rsidR="00FD6F09" w:rsidRPr="00B00F4C" w:rsidRDefault="00FD6F09" w:rsidP="00FD6F09">
      <w:pPr>
        <w:rPr>
          <w:i/>
          <w:u w:val="single"/>
        </w:rPr>
      </w:pPr>
      <w:r w:rsidRPr="00B00F4C">
        <w:rPr>
          <w:i/>
          <w:u w:val="single"/>
        </w:rPr>
        <w:t>Ministerial Direction 9: Metropolitan Planning Strategy</w:t>
      </w:r>
    </w:p>
    <w:p w:rsidR="00BC3949" w:rsidRDefault="00FD6F09" w:rsidP="00FD6F09">
      <w:pPr>
        <w:rPr>
          <w:szCs w:val="24"/>
        </w:rPr>
      </w:pPr>
      <w:r w:rsidRPr="00B00F4C">
        <w:rPr>
          <w:szCs w:val="22"/>
        </w:rPr>
        <w:t xml:space="preserve">The proposed rezoning and development is consistent with the intent of </w:t>
      </w:r>
      <w:r w:rsidR="00CB3B68">
        <w:rPr>
          <w:szCs w:val="22"/>
        </w:rPr>
        <w:t>Plan Melbourne (the</w:t>
      </w:r>
      <w:r w:rsidR="00CB3B68" w:rsidRPr="00B00F4C">
        <w:rPr>
          <w:szCs w:val="22"/>
        </w:rPr>
        <w:t xml:space="preserve"> </w:t>
      </w:r>
      <w:r w:rsidRPr="00B00F4C">
        <w:rPr>
          <w:szCs w:val="22"/>
        </w:rPr>
        <w:t>Metropolitan Strategy</w:t>
      </w:r>
      <w:r w:rsidR="00CB3B68">
        <w:rPr>
          <w:szCs w:val="22"/>
        </w:rPr>
        <w:t>)</w:t>
      </w:r>
      <w:r w:rsidRPr="00B00F4C">
        <w:rPr>
          <w:szCs w:val="22"/>
        </w:rPr>
        <w:t xml:space="preserve">, on the basis that it </w:t>
      </w:r>
      <w:r w:rsidR="000C708D">
        <w:rPr>
          <w:szCs w:val="22"/>
        </w:rPr>
        <w:t xml:space="preserve">seeks to provide a feasible approach to rehabilitating </w:t>
      </w:r>
      <w:r w:rsidR="003411DD">
        <w:rPr>
          <w:szCs w:val="22"/>
        </w:rPr>
        <w:t xml:space="preserve">a </w:t>
      </w:r>
      <w:r w:rsidR="00290CB8">
        <w:rPr>
          <w:szCs w:val="22"/>
        </w:rPr>
        <w:t xml:space="preserve">large </w:t>
      </w:r>
      <w:r w:rsidR="003411DD">
        <w:rPr>
          <w:szCs w:val="22"/>
        </w:rPr>
        <w:t xml:space="preserve">site which </w:t>
      </w:r>
      <w:r w:rsidR="00290CB8">
        <w:rPr>
          <w:szCs w:val="22"/>
        </w:rPr>
        <w:t xml:space="preserve">is no longer appropriate for its </w:t>
      </w:r>
      <w:r w:rsidR="00290CB8">
        <w:rPr>
          <w:szCs w:val="24"/>
        </w:rPr>
        <w:t>current Special Use Zone – Earth and</w:t>
      </w:r>
      <w:r w:rsidR="00290CB8" w:rsidRPr="00271249">
        <w:rPr>
          <w:szCs w:val="24"/>
        </w:rPr>
        <w:t xml:space="preserve"> E</w:t>
      </w:r>
      <w:r w:rsidR="00290CB8">
        <w:rPr>
          <w:szCs w:val="24"/>
        </w:rPr>
        <w:t xml:space="preserve">nergy </w:t>
      </w:r>
      <w:r w:rsidR="00290CB8" w:rsidRPr="00271249">
        <w:rPr>
          <w:szCs w:val="24"/>
        </w:rPr>
        <w:t>R</w:t>
      </w:r>
      <w:r w:rsidR="00290CB8">
        <w:rPr>
          <w:szCs w:val="24"/>
        </w:rPr>
        <w:t xml:space="preserve">esources </w:t>
      </w:r>
      <w:r w:rsidR="00290CB8" w:rsidRPr="00271249">
        <w:rPr>
          <w:szCs w:val="24"/>
        </w:rPr>
        <w:t>I</w:t>
      </w:r>
      <w:r w:rsidR="00290CB8">
        <w:rPr>
          <w:szCs w:val="24"/>
        </w:rPr>
        <w:t xml:space="preserve">ndustry. </w:t>
      </w:r>
    </w:p>
    <w:p w:rsidR="00E56E30" w:rsidRDefault="000C708D" w:rsidP="00FD6F09">
      <w:pPr>
        <w:rPr>
          <w:szCs w:val="22"/>
        </w:rPr>
      </w:pPr>
      <w:r>
        <w:rPr>
          <w:szCs w:val="24"/>
        </w:rPr>
        <w:t xml:space="preserve">As a result of the rezoning, a more detailed assessment of appropriate uses and form of development will be able to be undertaken. </w:t>
      </w:r>
      <w:r w:rsidR="00CB3B68">
        <w:rPr>
          <w:szCs w:val="22"/>
        </w:rPr>
        <w:t xml:space="preserve">Better utilisation </w:t>
      </w:r>
      <w:r w:rsidR="00FD6F09" w:rsidRPr="00B00F4C">
        <w:rPr>
          <w:szCs w:val="22"/>
        </w:rPr>
        <w:t>of large sites within areas already serviced by public transport and with convenient access to shops and services</w:t>
      </w:r>
      <w:r w:rsidR="001C12E2">
        <w:rPr>
          <w:szCs w:val="22"/>
        </w:rPr>
        <w:t xml:space="preserve"> i</w:t>
      </w:r>
      <w:r w:rsidR="00CB3B68">
        <w:rPr>
          <w:szCs w:val="22"/>
        </w:rPr>
        <w:t>s encouraged under Plan Melbourne.</w:t>
      </w:r>
    </w:p>
    <w:p w:rsidR="00BC3949" w:rsidRDefault="00BC3949" w:rsidP="008310E5">
      <w:pPr>
        <w:pStyle w:val="Heading3"/>
        <w:numPr>
          <w:ilvl w:val="0"/>
          <w:numId w:val="0"/>
        </w:numPr>
        <w:jc w:val="left"/>
        <w:rPr>
          <w:szCs w:val="22"/>
        </w:rPr>
      </w:pPr>
    </w:p>
    <w:p w:rsidR="00A068E6" w:rsidRDefault="00855A78" w:rsidP="008310E5">
      <w:pPr>
        <w:pStyle w:val="Heading3"/>
        <w:numPr>
          <w:ilvl w:val="0"/>
          <w:numId w:val="0"/>
        </w:numPr>
        <w:jc w:val="left"/>
        <w:rPr>
          <w:rFonts w:ascii="Arial" w:hAnsi="Arial" w:cs="Arial"/>
          <w:szCs w:val="24"/>
        </w:rPr>
      </w:pPr>
      <w:r w:rsidRPr="003A2DF5">
        <w:rPr>
          <w:rFonts w:ascii="Arial" w:hAnsi="Arial" w:cs="Arial"/>
          <w:szCs w:val="24"/>
        </w:rPr>
        <w:t>How does the A</w:t>
      </w:r>
      <w:r w:rsidR="00A068E6" w:rsidRPr="003A2DF5">
        <w:rPr>
          <w:rFonts w:ascii="Arial" w:hAnsi="Arial" w:cs="Arial"/>
          <w:szCs w:val="24"/>
        </w:rPr>
        <w:t xml:space="preserve">mendment support or implement the </w:t>
      </w:r>
      <w:r w:rsidR="007A4DF1" w:rsidRPr="003A2DF5">
        <w:rPr>
          <w:rFonts w:ascii="Arial" w:hAnsi="Arial" w:cs="Arial"/>
          <w:szCs w:val="24"/>
        </w:rPr>
        <w:t>State Planning Policy Framework and any adopted State policy?</w:t>
      </w:r>
    </w:p>
    <w:p w:rsidR="007C0F33" w:rsidRDefault="00CB1449" w:rsidP="007C0F33">
      <w:pPr>
        <w:rPr>
          <w:rFonts w:cs="Arial"/>
        </w:rPr>
      </w:pPr>
      <w:r w:rsidRPr="007C0F33">
        <w:rPr>
          <w:rFonts w:cs="Arial"/>
        </w:rPr>
        <w:t xml:space="preserve">The amendment supports and seeks to implement the State Planning Policy Framework, particularly having regard to: </w:t>
      </w:r>
    </w:p>
    <w:p w:rsidR="007C0F33" w:rsidRDefault="007C0F33" w:rsidP="007C0F33">
      <w:pPr>
        <w:rPr>
          <w:rFonts w:cs="Arial"/>
        </w:rPr>
      </w:pPr>
    </w:p>
    <w:p w:rsidR="007C0F33" w:rsidRDefault="00CB1449" w:rsidP="007C0F33">
      <w:pPr>
        <w:numPr>
          <w:ilvl w:val="0"/>
          <w:numId w:val="55"/>
        </w:numPr>
        <w:autoSpaceDE w:val="0"/>
        <w:autoSpaceDN w:val="0"/>
        <w:adjustRightInd w:val="0"/>
        <w:spacing w:before="0"/>
        <w:jc w:val="left"/>
        <w:rPr>
          <w:rFonts w:cs="Arial"/>
          <w:szCs w:val="22"/>
        </w:rPr>
      </w:pPr>
      <w:r w:rsidRPr="007C0F33">
        <w:rPr>
          <w:rFonts w:cs="Arial"/>
          <w:szCs w:val="22"/>
        </w:rPr>
        <w:t xml:space="preserve">Clause 11.02-1 </w:t>
      </w:r>
      <w:r w:rsidR="003F6DFA" w:rsidRPr="007C0F33">
        <w:rPr>
          <w:rFonts w:cs="Arial"/>
          <w:szCs w:val="22"/>
        </w:rPr>
        <w:t>(</w:t>
      </w:r>
      <w:r w:rsidRPr="007C0F33">
        <w:rPr>
          <w:rFonts w:cs="Arial"/>
          <w:szCs w:val="22"/>
        </w:rPr>
        <w:t>Supply of Urban Land</w:t>
      </w:r>
      <w:r w:rsidR="003F6DFA" w:rsidRPr="007C0F33">
        <w:rPr>
          <w:rFonts w:cs="Arial"/>
          <w:szCs w:val="22"/>
        </w:rPr>
        <w:t xml:space="preserve">) by facilitating the clean-up of a contaminated site which, subject to environmental quality, may provide the opportunity for the redevelopment and intensification of existing urban land. </w:t>
      </w:r>
    </w:p>
    <w:p w:rsidR="007C0F33" w:rsidRDefault="007C0F33" w:rsidP="007C0F33">
      <w:pPr>
        <w:autoSpaceDE w:val="0"/>
        <w:autoSpaceDN w:val="0"/>
        <w:adjustRightInd w:val="0"/>
        <w:spacing w:before="0"/>
        <w:jc w:val="left"/>
        <w:rPr>
          <w:rFonts w:cs="Arial"/>
          <w:szCs w:val="22"/>
        </w:rPr>
      </w:pPr>
    </w:p>
    <w:p w:rsidR="00CB3B68" w:rsidRPr="00CB3B68" w:rsidRDefault="007C0F33" w:rsidP="00CB3B68">
      <w:pPr>
        <w:numPr>
          <w:ilvl w:val="0"/>
          <w:numId w:val="55"/>
        </w:numPr>
        <w:autoSpaceDE w:val="0"/>
        <w:autoSpaceDN w:val="0"/>
        <w:adjustRightInd w:val="0"/>
        <w:spacing w:before="0"/>
        <w:jc w:val="left"/>
        <w:rPr>
          <w:rFonts w:cs="Arial"/>
          <w:szCs w:val="22"/>
        </w:rPr>
      </w:pPr>
      <w:r w:rsidRPr="00CB1449">
        <w:rPr>
          <w:szCs w:val="22"/>
        </w:rPr>
        <w:t xml:space="preserve">Clause 13.03-1 Use of Contaminated and Potentially Contaminated Land by </w:t>
      </w:r>
      <w:r>
        <w:rPr>
          <w:szCs w:val="22"/>
        </w:rPr>
        <w:t>introducing measures to ensure</w:t>
      </w:r>
      <w:r w:rsidRPr="00CB1449">
        <w:rPr>
          <w:szCs w:val="22"/>
        </w:rPr>
        <w:t xml:space="preserve"> potentially contaminated land is suitable for its intended use and development and is safely used.</w:t>
      </w:r>
    </w:p>
    <w:p w:rsidR="00CB3B68" w:rsidRPr="00CB3B68" w:rsidRDefault="00CB3B68" w:rsidP="00CB3B68">
      <w:pPr>
        <w:autoSpaceDE w:val="0"/>
        <w:autoSpaceDN w:val="0"/>
        <w:adjustRightInd w:val="0"/>
        <w:spacing w:before="0"/>
        <w:jc w:val="left"/>
        <w:rPr>
          <w:rFonts w:cs="Arial"/>
          <w:szCs w:val="22"/>
        </w:rPr>
      </w:pPr>
    </w:p>
    <w:p w:rsidR="004466EA" w:rsidRPr="00CB3B68" w:rsidRDefault="003F6DFA" w:rsidP="00CB3B68">
      <w:pPr>
        <w:numPr>
          <w:ilvl w:val="0"/>
          <w:numId w:val="55"/>
        </w:numPr>
        <w:autoSpaceDE w:val="0"/>
        <w:autoSpaceDN w:val="0"/>
        <w:adjustRightInd w:val="0"/>
        <w:spacing w:before="0"/>
        <w:jc w:val="left"/>
        <w:rPr>
          <w:rFonts w:cs="Arial"/>
          <w:szCs w:val="22"/>
        </w:rPr>
      </w:pPr>
      <w:r w:rsidRPr="00CB3B68">
        <w:rPr>
          <w:rFonts w:cs="Arial"/>
          <w:szCs w:val="22"/>
        </w:rPr>
        <w:t xml:space="preserve">Clause </w:t>
      </w:r>
      <w:r w:rsidRPr="00CB3B68">
        <w:rPr>
          <w:rFonts w:cs="Arial"/>
          <w:bCs/>
          <w:szCs w:val="22"/>
        </w:rPr>
        <w:t>16.01-3 (Strategic redevelopment sites) through the identification, in the relevant local policy, of a site which</w:t>
      </w:r>
      <w:r w:rsidR="007C0F33" w:rsidRPr="00CB3B68">
        <w:rPr>
          <w:rFonts w:cs="Arial"/>
          <w:bCs/>
          <w:szCs w:val="22"/>
        </w:rPr>
        <w:t xml:space="preserve"> (subject to site remediation), could be appropriate for </w:t>
      </w:r>
      <w:r w:rsidRPr="00CB3B68">
        <w:rPr>
          <w:rFonts w:cs="Arial"/>
          <w:szCs w:val="22"/>
        </w:rPr>
        <w:t>large residential development in Metropolitan</w:t>
      </w:r>
      <w:r w:rsidR="007C0F33" w:rsidRPr="00CB3B68">
        <w:rPr>
          <w:rFonts w:cs="Arial"/>
          <w:szCs w:val="22"/>
        </w:rPr>
        <w:t xml:space="preserve"> </w:t>
      </w:r>
      <w:r w:rsidRPr="00CB3B68">
        <w:rPr>
          <w:rFonts w:cs="Arial"/>
          <w:szCs w:val="22"/>
        </w:rPr>
        <w:t>Melbourne.</w:t>
      </w:r>
    </w:p>
    <w:p w:rsidR="00A068E6" w:rsidRDefault="00855A78" w:rsidP="008310E5">
      <w:pPr>
        <w:pStyle w:val="Heading3"/>
        <w:numPr>
          <w:ilvl w:val="0"/>
          <w:numId w:val="0"/>
        </w:numPr>
        <w:jc w:val="left"/>
        <w:rPr>
          <w:rFonts w:ascii="Arial" w:hAnsi="Arial" w:cs="Arial"/>
          <w:szCs w:val="24"/>
        </w:rPr>
      </w:pPr>
      <w:r w:rsidRPr="003A2DF5">
        <w:rPr>
          <w:rFonts w:ascii="Arial" w:hAnsi="Arial" w:cs="Arial"/>
          <w:szCs w:val="24"/>
        </w:rPr>
        <w:t>How does the A</w:t>
      </w:r>
      <w:r w:rsidR="00A068E6" w:rsidRPr="003A2DF5">
        <w:rPr>
          <w:rFonts w:ascii="Arial" w:hAnsi="Arial" w:cs="Arial"/>
          <w:szCs w:val="24"/>
        </w:rPr>
        <w:t>mendment support or implement the Local Planning Policy Framework</w:t>
      </w:r>
      <w:r w:rsidR="007A4DF1" w:rsidRPr="003A2DF5">
        <w:rPr>
          <w:rFonts w:ascii="Arial" w:hAnsi="Arial" w:cs="Arial"/>
          <w:szCs w:val="24"/>
        </w:rPr>
        <w:t>, and specifically the Municipal Strategic Statement?</w:t>
      </w:r>
    </w:p>
    <w:p w:rsidR="00CB1449" w:rsidRDefault="00CB1449" w:rsidP="00CB1449">
      <w:r w:rsidRPr="00CB1449">
        <w:t>The amendment supports and seeks to implement the Local Planning Policy Framework, and specifically the Municipal Strategic Statement particularly having regard to:</w:t>
      </w:r>
    </w:p>
    <w:p w:rsidR="00364446" w:rsidRPr="00364446" w:rsidRDefault="00364446" w:rsidP="00364446">
      <w:pPr>
        <w:autoSpaceDE w:val="0"/>
        <w:autoSpaceDN w:val="0"/>
        <w:adjustRightInd w:val="0"/>
        <w:spacing w:before="0"/>
        <w:jc w:val="left"/>
        <w:rPr>
          <w:rFonts w:ascii="Times New Roman" w:hAnsi="Times New Roman"/>
          <w:color w:val="000000"/>
          <w:sz w:val="20"/>
        </w:rPr>
      </w:pPr>
    </w:p>
    <w:p w:rsidR="007C0F33" w:rsidRPr="00CB3B68" w:rsidRDefault="00364446" w:rsidP="00CB3B68">
      <w:pPr>
        <w:numPr>
          <w:ilvl w:val="0"/>
          <w:numId w:val="64"/>
        </w:numPr>
        <w:rPr>
          <w:szCs w:val="22"/>
        </w:rPr>
      </w:pPr>
      <w:r w:rsidRPr="00CB3B68">
        <w:rPr>
          <w:szCs w:val="22"/>
        </w:rPr>
        <w:t xml:space="preserve">Clause 21.02 – Providing a mechanism to consider the redevelopment of a disused industrial site </w:t>
      </w:r>
      <w:r w:rsidRPr="00CB3B68">
        <w:rPr>
          <w:rFonts w:cs="Arial"/>
          <w:color w:val="000000"/>
          <w:szCs w:val="22"/>
        </w:rPr>
        <w:t xml:space="preserve">for an alternative urban uses </w:t>
      </w:r>
      <w:r w:rsidR="007C0F33" w:rsidRPr="00CB3B68">
        <w:rPr>
          <w:szCs w:val="22"/>
        </w:rPr>
        <w:t>in a manner that seeks to protect, enhance and develop the physical, economic and social environments of Monash</w:t>
      </w:r>
      <w:r w:rsidRPr="00CB3B68">
        <w:rPr>
          <w:szCs w:val="22"/>
        </w:rPr>
        <w:t>.</w:t>
      </w:r>
    </w:p>
    <w:p w:rsidR="00364446" w:rsidRPr="00CB3B68" w:rsidRDefault="00364446" w:rsidP="00CB3B68">
      <w:pPr>
        <w:numPr>
          <w:ilvl w:val="0"/>
          <w:numId w:val="64"/>
        </w:numPr>
        <w:rPr>
          <w:rFonts w:ascii="Times New Roman" w:hAnsi="Times New Roman"/>
          <w:szCs w:val="22"/>
        </w:rPr>
      </w:pPr>
      <w:r w:rsidRPr="00CB3B68">
        <w:rPr>
          <w:szCs w:val="22"/>
        </w:rPr>
        <w:t>Clause 21.04 – Facilitating the potential opportunity for new residential developmen</w:t>
      </w:r>
      <w:r w:rsidR="00AB5C2C" w:rsidRPr="00CB3B68">
        <w:rPr>
          <w:szCs w:val="22"/>
        </w:rPr>
        <w:t xml:space="preserve">t, subject to site remediation, </w:t>
      </w:r>
      <w:r w:rsidRPr="00CB3B68">
        <w:rPr>
          <w:szCs w:val="22"/>
        </w:rPr>
        <w:t>through the provision of an appropriate Zone which ensures an integrated approach can be considered.</w:t>
      </w:r>
    </w:p>
    <w:p w:rsidR="00A068E6" w:rsidRPr="003A2DF5" w:rsidRDefault="00855A78" w:rsidP="008310E5">
      <w:pPr>
        <w:pStyle w:val="Heading3"/>
        <w:numPr>
          <w:ilvl w:val="0"/>
          <w:numId w:val="0"/>
        </w:numPr>
        <w:jc w:val="left"/>
        <w:rPr>
          <w:rFonts w:ascii="Arial" w:hAnsi="Arial" w:cs="Arial"/>
          <w:szCs w:val="24"/>
        </w:rPr>
      </w:pPr>
      <w:r w:rsidRPr="003A2DF5">
        <w:rPr>
          <w:rFonts w:ascii="Arial" w:hAnsi="Arial" w:cs="Arial"/>
          <w:szCs w:val="24"/>
        </w:rPr>
        <w:t>Does the A</w:t>
      </w:r>
      <w:r w:rsidR="00A068E6" w:rsidRPr="003A2DF5">
        <w:rPr>
          <w:rFonts w:ascii="Arial" w:hAnsi="Arial" w:cs="Arial"/>
          <w:szCs w:val="24"/>
        </w:rPr>
        <w:t>mendment make proper use of the Victoria Planning Provisions?</w:t>
      </w:r>
    </w:p>
    <w:p w:rsidR="00AB5C2C" w:rsidRDefault="008A66C4" w:rsidP="008A66C4">
      <w:r w:rsidRPr="00B00F4C">
        <w:t xml:space="preserve">The </w:t>
      </w:r>
      <w:r>
        <w:t xml:space="preserve">Comprehensive Development Zone </w:t>
      </w:r>
      <w:r w:rsidR="00CB3B68">
        <w:t xml:space="preserve">with its </w:t>
      </w:r>
      <w:r>
        <w:t xml:space="preserve">Comprehensive Development Plan </w:t>
      </w:r>
      <w:r w:rsidR="00847110">
        <w:t xml:space="preserve">is </w:t>
      </w:r>
      <w:r>
        <w:t xml:space="preserve">considered </w:t>
      </w:r>
      <w:r w:rsidR="00AB5C2C">
        <w:t>the most appropriate provision</w:t>
      </w:r>
      <w:r>
        <w:t xml:space="preserve"> </w:t>
      </w:r>
      <w:r w:rsidR="00AB5C2C">
        <w:t>for this site.</w:t>
      </w:r>
    </w:p>
    <w:p w:rsidR="00AB5C2C" w:rsidRDefault="00AB5C2C" w:rsidP="00AB5C2C">
      <w:r>
        <w:br/>
      </w:r>
      <w:r w:rsidRPr="00DD2CBC">
        <w:t>The</w:t>
      </w:r>
      <w:r w:rsidR="00CB3B68">
        <w:t xml:space="preserve"> Comprehensive Development Zone and draft schedule </w:t>
      </w:r>
      <w:r w:rsidRPr="00DD2CBC">
        <w:t xml:space="preserve">enables requirements </w:t>
      </w:r>
      <w:r w:rsidR="00CB3B68">
        <w:t xml:space="preserve">to be </w:t>
      </w:r>
      <w:r w:rsidR="00CB3B68">
        <w:lastRenderedPageBreak/>
        <w:t xml:space="preserve">specified </w:t>
      </w:r>
      <w:r w:rsidRPr="00DD2CBC">
        <w:t xml:space="preserve">regarding how potential site contamination can be managed, the key issues to be addressed </w:t>
      </w:r>
      <w:r w:rsidR="00CB3B68">
        <w:t xml:space="preserve">and information to be specified </w:t>
      </w:r>
      <w:r w:rsidRPr="00DD2CBC">
        <w:t>as part of the lodging of any planning application</w:t>
      </w:r>
      <w:r w:rsidR="00CB3B68">
        <w:t xml:space="preserve"> </w:t>
      </w:r>
      <w:r w:rsidRPr="00DD2CBC">
        <w:t>and scope to consider alternative uses in the event that the Comprehensive Development Plan is not deemed appropriate following the completion of the Environmental Audit process.</w:t>
      </w:r>
    </w:p>
    <w:p w:rsidR="00364446" w:rsidRDefault="00AB5C2C" w:rsidP="008A66C4">
      <w:r>
        <w:br/>
        <w:t xml:space="preserve">The CDZ and schedule provide sufficient confidence for the proponent to complete the environmental assessments, while still maintaining sufficient oversight, direction and opportunity for consultation on the future use of the site. Subject to the findings of environmental assessments, a coordinated </w:t>
      </w:r>
      <w:r w:rsidR="008A66C4">
        <w:t>redevelopment of the site</w:t>
      </w:r>
      <w:r>
        <w:t xml:space="preserve"> </w:t>
      </w:r>
      <w:r w:rsidR="001C12E2">
        <w:t>will</w:t>
      </w:r>
      <w:r>
        <w:t xml:space="preserve"> be considered</w:t>
      </w:r>
      <w:r w:rsidR="008A66C4">
        <w:t xml:space="preserve">. </w:t>
      </w:r>
    </w:p>
    <w:p w:rsidR="00A068E6" w:rsidRPr="003A2DF5" w:rsidRDefault="00855A78" w:rsidP="008310E5">
      <w:pPr>
        <w:pStyle w:val="Heading3"/>
        <w:numPr>
          <w:ilvl w:val="0"/>
          <w:numId w:val="0"/>
        </w:numPr>
        <w:jc w:val="left"/>
        <w:rPr>
          <w:rFonts w:ascii="Arial" w:hAnsi="Arial" w:cs="Arial"/>
          <w:szCs w:val="24"/>
        </w:rPr>
      </w:pPr>
      <w:r w:rsidRPr="003A2DF5">
        <w:rPr>
          <w:rFonts w:ascii="Arial" w:hAnsi="Arial" w:cs="Arial"/>
          <w:szCs w:val="24"/>
        </w:rPr>
        <w:t>How does the A</w:t>
      </w:r>
      <w:r w:rsidR="00A068E6" w:rsidRPr="003A2DF5">
        <w:rPr>
          <w:rFonts w:ascii="Arial" w:hAnsi="Arial" w:cs="Arial"/>
          <w:szCs w:val="24"/>
        </w:rPr>
        <w:t>mendment address the views of any relevant agency?</w:t>
      </w:r>
    </w:p>
    <w:p w:rsidR="005D5D08" w:rsidRPr="004F6AAC" w:rsidRDefault="003A2DF5" w:rsidP="008310E5">
      <w:pPr>
        <w:pStyle w:val="StrategicAssessmentText"/>
        <w:ind w:left="0"/>
        <w:jc w:val="left"/>
        <w:rPr>
          <w:rFonts w:cs="Arial"/>
          <w:szCs w:val="22"/>
          <w:highlight w:val="yellow"/>
        </w:rPr>
      </w:pPr>
      <w:r w:rsidRPr="003A2DF5">
        <w:rPr>
          <w:rFonts w:cs="Arial"/>
        </w:rPr>
        <w:t>The views of any relevant agency will be sought as part of the Amendment Process.</w:t>
      </w:r>
      <w:r w:rsidR="00290CB8">
        <w:rPr>
          <w:rFonts w:cs="Arial"/>
        </w:rPr>
        <w:t xml:space="preserve"> </w:t>
      </w:r>
    </w:p>
    <w:p w:rsidR="00BB1CA4" w:rsidRPr="003A2DF5" w:rsidRDefault="00BC596D" w:rsidP="008310E5">
      <w:pPr>
        <w:pStyle w:val="Heading3"/>
        <w:numPr>
          <w:ilvl w:val="0"/>
          <w:numId w:val="0"/>
        </w:numPr>
        <w:jc w:val="left"/>
        <w:rPr>
          <w:rFonts w:ascii="Arial" w:hAnsi="Arial" w:cs="Arial"/>
          <w:szCs w:val="24"/>
        </w:rPr>
      </w:pPr>
      <w:r w:rsidRPr="004466EA">
        <w:rPr>
          <w:rFonts w:ascii="Arial" w:hAnsi="Arial" w:cs="Arial"/>
          <w:szCs w:val="24"/>
        </w:rPr>
        <w:t>D</w:t>
      </w:r>
      <w:r w:rsidR="00855A78" w:rsidRPr="004466EA">
        <w:rPr>
          <w:rFonts w:ascii="Arial" w:hAnsi="Arial" w:cs="Arial"/>
          <w:szCs w:val="24"/>
        </w:rPr>
        <w:t>oes the A</w:t>
      </w:r>
      <w:r w:rsidR="00B74D9F" w:rsidRPr="004466EA">
        <w:rPr>
          <w:rFonts w:ascii="Arial" w:hAnsi="Arial" w:cs="Arial"/>
          <w:szCs w:val="24"/>
        </w:rPr>
        <w:t xml:space="preserve">mendment address </w:t>
      </w:r>
      <w:r w:rsidRPr="004466EA">
        <w:rPr>
          <w:rFonts w:ascii="Arial" w:hAnsi="Arial" w:cs="Arial"/>
          <w:szCs w:val="24"/>
        </w:rPr>
        <w:t>relevant</w:t>
      </w:r>
      <w:r w:rsidR="00B74D9F" w:rsidRPr="004466EA">
        <w:rPr>
          <w:rFonts w:ascii="Arial" w:hAnsi="Arial" w:cs="Arial"/>
          <w:szCs w:val="24"/>
        </w:rPr>
        <w:t xml:space="preserve"> requirements of the Transport Integration Act 2010?</w:t>
      </w:r>
    </w:p>
    <w:p w:rsidR="00E56E30" w:rsidRDefault="00183F53" w:rsidP="00FD171F">
      <w:r>
        <w:t>The amendment will not have any significant impact on the objectives and decision making principles set out in the Transport Integration Act 2010</w:t>
      </w:r>
      <w:r w:rsidR="00E56E30">
        <w:t xml:space="preserve">, as it sets the framework solely for a future proposal to be considered for the site. </w:t>
      </w:r>
    </w:p>
    <w:p w:rsidR="00FD171F" w:rsidRDefault="00FD171F" w:rsidP="00FD171F">
      <w:r>
        <w:t xml:space="preserve">The site is served by three bus lines, and is within 1-2 km of two major train stations. The implications of vehicle movement, impacts to the road network, and opportunities / linkages to sustainable transport options will be further considered through the exhibition of the amendment, including referral to all relevant authorities. </w:t>
      </w:r>
    </w:p>
    <w:p w:rsidR="00B74D9F" w:rsidRPr="00FD171F" w:rsidRDefault="00B74D9F" w:rsidP="00FD171F"/>
    <w:p w:rsidR="00814A45" w:rsidRPr="003A2DF5" w:rsidRDefault="00814A45" w:rsidP="000C275E">
      <w:pPr>
        <w:pStyle w:val="Heading2"/>
      </w:pPr>
      <w:r w:rsidRPr="003A2DF5">
        <w:t>Resource and administrative costs</w:t>
      </w:r>
    </w:p>
    <w:p w:rsidR="00261580" w:rsidRPr="003A2DF5" w:rsidRDefault="003A2DF5" w:rsidP="008310E5">
      <w:pPr>
        <w:jc w:val="left"/>
        <w:rPr>
          <w:rFonts w:cs="Arial"/>
          <w:szCs w:val="22"/>
        </w:rPr>
      </w:pPr>
      <w:r w:rsidRPr="003A2DF5">
        <w:rPr>
          <w:rFonts w:cs="Arial"/>
        </w:rPr>
        <w:t>The amendment will not have a significant administrative impact on Council.</w:t>
      </w:r>
    </w:p>
    <w:p w:rsidR="00A068E6" w:rsidRPr="003A2DF5" w:rsidRDefault="00A068E6" w:rsidP="000C275E">
      <w:pPr>
        <w:pStyle w:val="Heading2"/>
      </w:pPr>
      <w:r w:rsidRPr="003A2DF5">
        <w:t>Where</w:t>
      </w:r>
      <w:r w:rsidR="00814A45" w:rsidRPr="003A2DF5">
        <w:t xml:space="preserve"> you may inspect this Amendment</w:t>
      </w:r>
    </w:p>
    <w:p w:rsidR="00A068E6" w:rsidRPr="003A2DF5" w:rsidRDefault="00A068E6" w:rsidP="008310E5">
      <w:pPr>
        <w:jc w:val="left"/>
        <w:rPr>
          <w:rFonts w:cs="Arial"/>
          <w:szCs w:val="22"/>
        </w:rPr>
      </w:pPr>
      <w:r w:rsidRPr="003A2DF5">
        <w:rPr>
          <w:rFonts w:cs="Arial"/>
          <w:szCs w:val="22"/>
        </w:rPr>
        <w:t xml:space="preserve">The </w:t>
      </w:r>
      <w:r w:rsidR="00855A78" w:rsidRPr="003A2DF5">
        <w:rPr>
          <w:rFonts w:cs="Arial"/>
          <w:szCs w:val="22"/>
        </w:rPr>
        <w:t>A</w:t>
      </w:r>
      <w:r w:rsidRPr="003A2DF5">
        <w:rPr>
          <w:rFonts w:cs="Arial"/>
          <w:szCs w:val="22"/>
        </w:rPr>
        <w:t>mendment is available for public inspection, free of charge, during offic</w:t>
      </w:r>
      <w:r w:rsidR="00821867" w:rsidRPr="003A2DF5">
        <w:rPr>
          <w:rFonts w:cs="Arial"/>
          <w:szCs w:val="22"/>
        </w:rPr>
        <w:t>e hours at the following places:</w:t>
      </w:r>
    </w:p>
    <w:p w:rsidR="003A2DF5" w:rsidRPr="003A2DF5" w:rsidRDefault="003A2DF5" w:rsidP="008310E5">
      <w:pPr>
        <w:jc w:val="left"/>
        <w:rPr>
          <w:rFonts w:cs="Arial"/>
          <w:szCs w:val="22"/>
        </w:rPr>
      </w:pPr>
      <w:r w:rsidRPr="003A2DF5">
        <w:rPr>
          <w:rFonts w:cs="Arial"/>
          <w:szCs w:val="22"/>
        </w:rPr>
        <w:t>City of Monash</w:t>
      </w:r>
      <w:r w:rsidRPr="003A2DF5">
        <w:rPr>
          <w:rFonts w:cs="Arial"/>
          <w:szCs w:val="22"/>
        </w:rPr>
        <w:br/>
        <w:t xml:space="preserve">293 Springvale Road </w:t>
      </w:r>
      <w:r w:rsidRPr="003A2DF5">
        <w:rPr>
          <w:rFonts w:cs="Arial"/>
          <w:szCs w:val="22"/>
        </w:rPr>
        <w:br/>
        <w:t xml:space="preserve">Glen Waverley Vic 3150 </w:t>
      </w:r>
    </w:p>
    <w:p w:rsidR="003A2DF5" w:rsidRPr="003A2DF5" w:rsidRDefault="003A2DF5" w:rsidP="008310E5">
      <w:pPr>
        <w:jc w:val="left"/>
        <w:rPr>
          <w:rFonts w:cs="Arial"/>
          <w:szCs w:val="22"/>
        </w:rPr>
      </w:pPr>
      <w:proofErr w:type="gramStart"/>
      <w:r w:rsidRPr="003A2DF5">
        <w:rPr>
          <w:rFonts w:cs="Arial"/>
          <w:szCs w:val="22"/>
        </w:rPr>
        <w:t>or</w:t>
      </w:r>
      <w:proofErr w:type="gramEnd"/>
      <w:r w:rsidRPr="003A2DF5">
        <w:rPr>
          <w:rFonts w:cs="Arial"/>
          <w:szCs w:val="22"/>
        </w:rPr>
        <w:t xml:space="preserve"> at: </w:t>
      </w:r>
      <w:hyperlink r:id="rId8" w:history="1">
        <w:r w:rsidR="00EC6855">
          <w:rPr>
            <w:rStyle w:val="Hyperlink"/>
            <w:rFonts w:cs="Arial"/>
            <w:szCs w:val="22"/>
          </w:rPr>
          <w:t>http://www.monash.vic.gov.au/</w:t>
        </w:r>
      </w:hyperlink>
    </w:p>
    <w:p w:rsidR="00A068E6" w:rsidRPr="003A2DF5" w:rsidRDefault="00A009DB" w:rsidP="008310E5">
      <w:pPr>
        <w:jc w:val="left"/>
        <w:rPr>
          <w:rFonts w:cs="Arial"/>
          <w:szCs w:val="22"/>
        </w:rPr>
      </w:pPr>
      <w:r w:rsidRPr="003A2DF5">
        <w:rPr>
          <w:rFonts w:cs="Arial"/>
          <w:szCs w:val="22"/>
        </w:rPr>
        <w:t xml:space="preserve">The </w:t>
      </w:r>
      <w:r w:rsidR="00855A78" w:rsidRPr="003A2DF5">
        <w:rPr>
          <w:rFonts w:cs="Arial"/>
          <w:szCs w:val="22"/>
        </w:rPr>
        <w:t>A</w:t>
      </w:r>
      <w:r w:rsidRPr="003A2DF5">
        <w:rPr>
          <w:rFonts w:cs="Arial"/>
          <w:szCs w:val="22"/>
        </w:rPr>
        <w:t>mendment</w:t>
      </w:r>
      <w:r w:rsidR="00821867" w:rsidRPr="003A2DF5">
        <w:rPr>
          <w:rFonts w:cs="Arial"/>
          <w:szCs w:val="22"/>
        </w:rPr>
        <w:t xml:space="preserve"> can also be inspected free of charge at the </w:t>
      </w:r>
      <w:r w:rsidR="00855A78" w:rsidRPr="003A2DF5">
        <w:rPr>
          <w:rFonts w:cs="Arial"/>
          <w:szCs w:val="22"/>
        </w:rPr>
        <w:t xml:space="preserve">Department of Environment, Land, Water and Planning </w:t>
      </w:r>
      <w:r w:rsidR="009A2D3F" w:rsidRPr="003A2DF5">
        <w:rPr>
          <w:rFonts w:cs="Arial"/>
          <w:szCs w:val="22"/>
        </w:rPr>
        <w:t>web</w:t>
      </w:r>
      <w:r w:rsidR="00821867" w:rsidRPr="003A2DF5">
        <w:rPr>
          <w:rFonts w:cs="Arial"/>
          <w:szCs w:val="22"/>
        </w:rPr>
        <w:t xml:space="preserve">site </w:t>
      </w:r>
      <w:r w:rsidR="00FC2AC0" w:rsidRPr="003A2DF5">
        <w:rPr>
          <w:rFonts w:cs="Arial"/>
          <w:szCs w:val="22"/>
        </w:rPr>
        <w:t xml:space="preserve">at </w:t>
      </w:r>
      <w:hyperlink r:id="rId9" w:history="1">
        <w:r w:rsidR="00BC17A0" w:rsidRPr="003A2DF5">
          <w:rPr>
            <w:rStyle w:val="Hyperlink"/>
            <w:rFonts w:cs="Arial"/>
            <w:szCs w:val="22"/>
          </w:rPr>
          <w:t>www.delwp.vic.gov.au/public-inspection</w:t>
        </w:r>
        <w:r w:rsidR="00821867" w:rsidRPr="003A2DF5">
          <w:rPr>
            <w:rStyle w:val="Hyperlink"/>
            <w:rFonts w:cs="Arial"/>
            <w:szCs w:val="22"/>
          </w:rPr>
          <w:t>.</w:t>
        </w:r>
      </w:hyperlink>
    </w:p>
    <w:p w:rsidR="00E85EC7" w:rsidRPr="003A2DF5" w:rsidRDefault="00E85EC7" w:rsidP="000C275E">
      <w:pPr>
        <w:pStyle w:val="Heading2"/>
      </w:pPr>
      <w:r w:rsidRPr="003A2DF5">
        <w:t xml:space="preserve">Submissions </w:t>
      </w:r>
    </w:p>
    <w:p w:rsidR="00E85EC7" w:rsidRPr="002614A8" w:rsidRDefault="00E85EC7" w:rsidP="008310E5">
      <w:pPr>
        <w:jc w:val="left"/>
        <w:rPr>
          <w:rFonts w:cs="Arial"/>
          <w:b/>
          <w:color w:val="000000"/>
          <w:szCs w:val="22"/>
        </w:rPr>
      </w:pPr>
      <w:r w:rsidRPr="003A2DF5">
        <w:rPr>
          <w:rFonts w:cs="Arial"/>
          <w:szCs w:val="22"/>
        </w:rPr>
        <w:t>Any per</w:t>
      </w:r>
      <w:r w:rsidR="00855A78" w:rsidRPr="003A2DF5">
        <w:rPr>
          <w:rFonts w:cs="Arial"/>
          <w:szCs w:val="22"/>
        </w:rPr>
        <w:t>son who may be affected by the A</w:t>
      </w:r>
      <w:r w:rsidRPr="003A2DF5">
        <w:rPr>
          <w:rFonts w:cs="Arial"/>
          <w:szCs w:val="22"/>
        </w:rPr>
        <w:t>mendment may make a submission to the planning aut</w:t>
      </w:r>
      <w:r w:rsidR="00855A78" w:rsidRPr="003A2DF5">
        <w:rPr>
          <w:rFonts w:cs="Arial"/>
          <w:szCs w:val="22"/>
        </w:rPr>
        <w:t>hority.  Submissions about the A</w:t>
      </w:r>
      <w:r w:rsidRPr="003A2DF5">
        <w:rPr>
          <w:rFonts w:cs="Arial"/>
          <w:szCs w:val="22"/>
        </w:rPr>
        <w:t xml:space="preserve">mendment must be received by </w:t>
      </w:r>
      <w:r w:rsidR="009D2F02">
        <w:rPr>
          <w:rFonts w:cs="Arial"/>
          <w:b/>
          <w:color w:val="000000"/>
          <w:szCs w:val="22"/>
        </w:rPr>
        <w:t>3 March 2017</w:t>
      </w:r>
      <w:r w:rsidR="002614A8" w:rsidRPr="002614A8">
        <w:rPr>
          <w:rFonts w:cs="Arial"/>
          <w:b/>
          <w:color w:val="000000"/>
          <w:szCs w:val="22"/>
        </w:rPr>
        <w:t>.</w:t>
      </w:r>
    </w:p>
    <w:p w:rsidR="00E35E35" w:rsidRPr="002614A8" w:rsidRDefault="00E35E35" w:rsidP="008310E5">
      <w:pPr>
        <w:jc w:val="left"/>
        <w:rPr>
          <w:rFonts w:cs="Arial"/>
          <w:b/>
          <w:color w:val="000000"/>
          <w:szCs w:val="22"/>
        </w:rPr>
      </w:pPr>
    </w:p>
    <w:p w:rsidR="00E85EC7" w:rsidRDefault="00E85EC7" w:rsidP="008310E5">
      <w:pPr>
        <w:jc w:val="left"/>
        <w:rPr>
          <w:rFonts w:cs="Arial"/>
          <w:color w:val="FF0000"/>
          <w:szCs w:val="22"/>
        </w:rPr>
      </w:pPr>
      <w:r w:rsidRPr="003A2DF5">
        <w:rPr>
          <w:rFonts w:cs="Arial"/>
          <w:szCs w:val="22"/>
        </w:rPr>
        <w:t xml:space="preserve">A submission must be sent to: </w:t>
      </w:r>
    </w:p>
    <w:p w:rsidR="00183F53" w:rsidRDefault="00556500" w:rsidP="002614A8">
      <w:pPr>
        <w:ind w:left="284"/>
        <w:jc w:val="left"/>
        <w:rPr>
          <w:rFonts w:cs="Arial"/>
          <w:szCs w:val="22"/>
        </w:rPr>
      </w:pPr>
      <w:r>
        <w:rPr>
          <w:rFonts w:cs="Arial"/>
          <w:szCs w:val="22"/>
        </w:rPr>
        <w:t>Monash City Council</w:t>
      </w:r>
      <w:r w:rsidR="00183F53" w:rsidRPr="003A2DF5">
        <w:rPr>
          <w:rFonts w:cs="Arial"/>
          <w:szCs w:val="22"/>
        </w:rPr>
        <w:br/>
      </w:r>
      <w:r>
        <w:rPr>
          <w:rFonts w:cs="Arial"/>
          <w:szCs w:val="22"/>
        </w:rPr>
        <w:t>PO Box 1</w:t>
      </w:r>
      <w:r w:rsidR="00183F53" w:rsidRPr="003A2DF5">
        <w:rPr>
          <w:rFonts w:cs="Arial"/>
          <w:szCs w:val="22"/>
        </w:rPr>
        <w:t xml:space="preserve"> </w:t>
      </w:r>
      <w:r w:rsidR="00183F53" w:rsidRPr="003A2DF5">
        <w:rPr>
          <w:rFonts w:cs="Arial"/>
          <w:szCs w:val="22"/>
        </w:rPr>
        <w:br/>
        <w:t xml:space="preserve">Glen Waverley Vic 3150 </w:t>
      </w:r>
    </w:p>
    <w:p w:rsidR="00DA5907" w:rsidRPr="003A2DF5" w:rsidRDefault="00DA5907" w:rsidP="002614A8">
      <w:pPr>
        <w:ind w:left="284"/>
        <w:jc w:val="left"/>
        <w:rPr>
          <w:rFonts w:cs="Arial"/>
          <w:szCs w:val="22"/>
        </w:rPr>
      </w:pPr>
    </w:p>
    <w:p w:rsidR="00DA5907" w:rsidRPr="00ED3674" w:rsidRDefault="00DA5907" w:rsidP="00DA5907">
      <w:pPr>
        <w:pStyle w:val="Heading2"/>
      </w:pPr>
      <w:r w:rsidRPr="00ED3674">
        <w:t>Panel hearing dates</w:t>
      </w:r>
      <w:r>
        <w:t xml:space="preserve"> </w:t>
      </w:r>
    </w:p>
    <w:p w:rsidR="00DA5907" w:rsidRPr="00ED3674" w:rsidRDefault="00DA5907" w:rsidP="00DA5907">
      <w:pPr>
        <w:jc w:val="left"/>
        <w:rPr>
          <w:rFonts w:cs="Arial"/>
          <w:szCs w:val="22"/>
        </w:rPr>
      </w:pPr>
      <w:r w:rsidRPr="00ED3674">
        <w:rPr>
          <w:rFonts w:cs="Arial"/>
          <w:szCs w:val="22"/>
        </w:rPr>
        <w:t>In accordance with clause 4(2) of Ministerial Direction No.15 the following panel hearing dates have been set for this amendment:</w:t>
      </w:r>
    </w:p>
    <w:p w:rsidR="00DA5907" w:rsidRPr="00ED3674" w:rsidRDefault="00DA5907" w:rsidP="00DA5907">
      <w:pPr>
        <w:numPr>
          <w:ilvl w:val="0"/>
          <w:numId w:val="40"/>
        </w:numPr>
        <w:spacing w:after="120"/>
        <w:ind w:left="357" w:hanging="357"/>
        <w:jc w:val="left"/>
        <w:rPr>
          <w:rFonts w:ascii="New York" w:hAnsi="New York"/>
          <w:szCs w:val="22"/>
        </w:rPr>
      </w:pPr>
      <w:r w:rsidRPr="00ED3674">
        <w:rPr>
          <w:rFonts w:cs="Arial"/>
          <w:szCs w:val="22"/>
        </w:rPr>
        <w:t xml:space="preserve">directions hearing:  </w:t>
      </w:r>
      <w:r w:rsidRPr="00DA5907">
        <w:rPr>
          <w:rFonts w:cs="Arial"/>
          <w:color w:val="000000"/>
          <w:szCs w:val="22"/>
        </w:rPr>
        <w:t>During the week commencing 24 April 2017</w:t>
      </w:r>
    </w:p>
    <w:p w:rsidR="00DA5907" w:rsidRPr="00FB4184" w:rsidRDefault="00DA5907" w:rsidP="00DA5907">
      <w:pPr>
        <w:numPr>
          <w:ilvl w:val="0"/>
          <w:numId w:val="40"/>
        </w:numPr>
        <w:spacing w:after="120"/>
        <w:ind w:left="357" w:hanging="357"/>
        <w:jc w:val="left"/>
        <w:rPr>
          <w:rFonts w:cs="Arial"/>
          <w:szCs w:val="22"/>
        </w:rPr>
      </w:pPr>
      <w:r w:rsidRPr="00ED3674">
        <w:rPr>
          <w:rFonts w:cs="Arial"/>
          <w:szCs w:val="22"/>
        </w:rPr>
        <w:t xml:space="preserve">panel hearing: </w:t>
      </w:r>
      <w:r w:rsidRPr="00FB4184">
        <w:rPr>
          <w:rFonts w:cs="Arial"/>
          <w:color w:val="FF0000"/>
          <w:szCs w:val="22"/>
        </w:rPr>
        <w:t xml:space="preserve"> </w:t>
      </w:r>
      <w:r w:rsidRPr="00DA5907">
        <w:rPr>
          <w:rFonts w:cs="Arial"/>
          <w:color w:val="000000"/>
          <w:szCs w:val="22"/>
        </w:rPr>
        <w:t>During the week commencing 29 May 2017</w:t>
      </w:r>
    </w:p>
    <w:p w:rsidR="00A068E6" w:rsidRPr="003A2DF5" w:rsidRDefault="00A068E6" w:rsidP="00DA5907">
      <w:pPr>
        <w:jc w:val="left"/>
        <w:rPr>
          <w:rFonts w:cs="Arial"/>
          <w:vanish/>
        </w:rPr>
      </w:pPr>
    </w:p>
    <w:p w:rsidR="00A068E6" w:rsidRPr="003A2DF5" w:rsidRDefault="00A068E6">
      <w:pPr>
        <w:jc w:val="center"/>
        <w:rPr>
          <w:rFonts w:cs="Arial"/>
          <w:vanish/>
        </w:rPr>
      </w:pPr>
    </w:p>
    <w:p w:rsidR="00A068E6" w:rsidRPr="003A2DF5" w:rsidRDefault="00A068E6">
      <w:pPr>
        <w:jc w:val="center"/>
        <w:rPr>
          <w:rFonts w:cs="Arial"/>
          <w:vanish/>
        </w:rPr>
      </w:pPr>
    </w:p>
    <w:p w:rsidR="001E53D0" w:rsidRPr="003A2DF5" w:rsidRDefault="001E53D0">
      <w:pPr>
        <w:jc w:val="center"/>
        <w:rPr>
          <w:rFonts w:cs="Arial"/>
          <w:vanish/>
        </w:rPr>
      </w:pPr>
    </w:p>
    <w:p w:rsidR="001E53D0" w:rsidRPr="003A2DF5" w:rsidRDefault="001E53D0">
      <w:pPr>
        <w:jc w:val="center"/>
        <w:rPr>
          <w:rFonts w:cs="Arial"/>
          <w:vanish/>
        </w:rPr>
      </w:pPr>
    </w:p>
    <w:p w:rsidR="001E53D0" w:rsidRPr="003A2DF5" w:rsidRDefault="001E53D0">
      <w:pPr>
        <w:jc w:val="center"/>
        <w:rPr>
          <w:rFonts w:cs="Arial"/>
          <w:vanish/>
        </w:rPr>
      </w:pPr>
    </w:p>
    <w:p w:rsidR="001E53D0" w:rsidRPr="003A2DF5" w:rsidRDefault="001E53D0" w:rsidP="001E53D0">
      <w:pPr>
        <w:rPr>
          <w:rFonts w:cs="Arial"/>
          <w:vanish/>
        </w:rPr>
      </w:pPr>
    </w:p>
    <w:sectPr w:rsidR="001E53D0" w:rsidRPr="003A2DF5" w:rsidSect="00E85EC7">
      <w:type w:val="continuous"/>
      <w:pgSz w:w="11907" w:h="16840" w:code="9"/>
      <w:pgMar w:top="993" w:right="1423" w:bottom="851" w:left="1440" w:header="737" w:footer="851" w:gutter="0"/>
      <w:cols w:space="737"/>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8D4" w:rsidRDefault="004818D4">
      <w:r>
        <w:separator/>
      </w:r>
    </w:p>
  </w:endnote>
  <w:endnote w:type="continuationSeparator" w:id="0">
    <w:p w:rsidR="004818D4" w:rsidRDefault="00481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w:charset w:val="00"/>
    <w:family w:val="auto"/>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8D4" w:rsidRDefault="004818D4">
      <w:r>
        <w:separator/>
      </w:r>
    </w:p>
  </w:footnote>
  <w:footnote w:type="continuationSeparator" w:id="0">
    <w:p w:rsidR="004818D4" w:rsidRDefault="00481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532"/>
    <w:multiLevelType w:val="hybridMultilevel"/>
    <w:tmpl w:val="09B484AE"/>
    <w:lvl w:ilvl="0" w:tplc="1852643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F74110B"/>
    <w:multiLevelType w:val="hybridMultilevel"/>
    <w:tmpl w:val="01685A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30B4276"/>
    <w:multiLevelType w:val="hybridMultilevel"/>
    <w:tmpl w:val="BA06EBEA"/>
    <w:lvl w:ilvl="0" w:tplc="7B4A438E">
      <w:start w:val="1"/>
      <w:numFmt w:val="bullet"/>
      <w:lvlText w:val=""/>
      <w:lvlJc w:val="left"/>
      <w:pPr>
        <w:ind w:left="567" w:hanging="283"/>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3">
    <w:nsid w:val="14041516"/>
    <w:multiLevelType w:val="hybridMultilevel"/>
    <w:tmpl w:val="2E8E55CC"/>
    <w:lvl w:ilvl="0" w:tplc="08249F7E">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C3E0F"/>
    <w:multiLevelType w:val="multilevel"/>
    <w:tmpl w:val="C16CF88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6C41885"/>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6">
    <w:nsid w:val="17D86982"/>
    <w:multiLevelType w:val="multilevel"/>
    <w:tmpl w:val="F7D8DBB4"/>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C074F2"/>
    <w:multiLevelType w:val="hybridMultilevel"/>
    <w:tmpl w:val="791E1A4E"/>
    <w:lvl w:ilvl="0" w:tplc="C9AA175A">
      <w:start w:val="1"/>
      <w:numFmt w:val="bullet"/>
      <w:lvlText w:val=""/>
      <w:lvlJc w:val="left"/>
      <w:pPr>
        <w:ind w:left="510" w:hanging="1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235115"/>
    <w:multiLevelType w:val="hybridMultilevel"/>
    <w:tmpl w:val="D28834E8"/>
    <w:lvl w:ilvl="0" w:tplc="C9AA175A">
      <w:start w:val="1"/>
      <w:numFmt w:val="bullet"/>
      <w:lvlText w:val=""/>
      <w:lvlJc w:val="left"/>
      <w:pPr>
        <w:ind w:left="510" w:hanging="1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C23241"/>
    <w:multiLevelType w:val="multilevel"/>
    <w:tmpl w:val="2D7A12B6"/>
    <w:lvl w:ilvl="0">
      <w:start w:val="1"/>
      <w:numFmt w:val="bullet"/>
      <w:lvlText w:val=""/>
      <w:lvlJc w:val="left"/>
      <w:pPr>
        <w:tabs>
          <w:tab w:val="num" w:pos="1800"/>
        </w:tabs>
        <w:ind w:left="1800" w:hanging="360"/>
      </w:pPr>
      <w:rPr>
        <w:rFonts w:ascii="Symbol" w:hAnsi="Symbol" w:hint="default"/>
        <w:b w:val="0"/>
        <w:i w:val="0"/>
        <w:sz w:val="18"/>
        <w:szCs w:val="18"/>
      </w:rPr>
    </w:lvl>
    <w:lvl w:ilvl="1">
      <w:start w:val="1"/>
      <w:numFmt w:val="bullet"/>
      <w:lvlText w:val="o"/>
      <w:lvlJc w:val="left"/>
      <w:pPr>
        <w:tabs>
          <w:tab w:val="num" w:pos="2880"/>
        </w:tabs>
        <w:ind w:left="2880" w:hanging="360"/>
      </w:pPr>
      <w:rPr>
        <w:rFonts w:ascii="Courier New" w:hAnsi="Courier New" w:cs="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Wingding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Wingding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2368790C"/>
    <w:multiLevelType w:val="hybridMultilevel"/>
    <w:tmpl w:val="4006B16E"/>
    <w:lvl w:ilvl="0" w:tplc="95066BE6">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12">
    <w:nsid w:val="26D44A0C"/>
    <w:multiLevelType w:val="hybridMultilevel"/>
    <w:tmpl w:val="A7887DB2"/>
    <w:lvl w:ilvl="0" w:tplc="0C090001">
      <w:start w:val="1"/>
      <w:numFmt w:val="bullet"/>
      <w:lvlText w:val=""/>
      <w:lvlJc w:val="left"/>
      <w:pPr>
        <w:ind w:left="1467" w:hanging="360"/>
      </w:pPr>
      <w:rPr>
        <w:rFonts w:ascii="Symbol" w:hAnsi="Symbol" w:hint="default"/>
      </w:rPr>
    </w:lvl>
    <w:lvl w:ilvl="1" w:tplc="0C090003" w:tentative="1">
      <w:start w:val="1"/>
      <w:numFmt w:val="bullet"/>
      <w:lvlText w:val="o"/>
      <w:lvlJc w:val="left"/>
      <w:pPr>
        <w:ind w:left="2187" w:hanging="360"/>
      </w:pPr>
      <w:rPr>
        <w:rFonts w:ascii="Courier New" w:hAnsi="Courier New" w:cs="Courier New" w:hint="default"/>
      </w:rPr>
    </w:lvl>
    <w:lvl w:ilvl="2" w:tplc="0C090005" w:tentative="1">
      <w:start w:val="1"/>
      <w:numFmt w:val="bullet"/>
      <w:lvlText w:val=""/>
      <w:lvlJc w:val="left"/>
      <w:pPr>
        <w:ind w:left="2907" w:hanging="360"/>
      </w:pPr>
      <w:rPr>
        <w:rFonts w:ascii="Wingdings" w:hAnsi="Wingdings" w:hint="default"/>
      </w:rPr>
    </w:lvl>
    <w:lvl w:ilvl="3" w:tplc="0C090001" w:tentative="1">
      <w:start w:val="1"/>
      <w:numFmt w:val="bullet"/>
      <w:lvlText w:val=""/>
      <w:lvlJc w:val="left"/>
      <w:pPr>
        <w:ind w:left="3627" w:hanging="360"/>
      </w:pPr>
      <w:rPr>
        <w:rFonts w:ascii="Symbol" w:hAnsi="Symbol" w:hint="default"/>
      </w:rPr>
    </w:lvl>
    <w:lvl w:ilvl="4" w:tplc="0C090003" w:tentative="1">
      <w:start w:val="1"/>
      <w:numFmt w:val="bullet"/>
      <w:lvlText w:val="o"/>
      <w:lvlJc w:val="left"/>
      <w:pPr>
        <w:ind w:left="4347" w:hanging="360"/>
      </w:pPr>
      <w:rPr>
        <w:rFonts w:ascii="Courier New" w:hAnsi="Courier New" w:cs="Courier New" w:hint="default"/>
      </w:rPr>
    </w:lvl>
    <w:lvl w:ilvl="5" w:tplc="0C090005" w:tentative="1">
      <w:start w:val="1"/>
      <w:numFmt w:val="bullet"/>
      <w:lvlText w:val=""/>
      <w:lvlJc w:val="left"/>
      <w:pPr>
        <w:ind w:left="5067" w:hanging="360"/>
      </w:pPr>
      <w:rPr>
        <w:rFonts w:ascii="Wingdings" w:hAnsi="Wingdings" w:hint="default"/>
      </w:rPr>
    </w:lvl>
    <w:lvl w:ilvl="6" w:tplc="0C090001" w:tentative="1">
      <w:start w:val="1"/>
      <w:numFmt w:val="bullet"/>
      <w:lvlText w:val=""/>
      <w:lvlJc w:val="left"/>
      <w:pPr>
        <w:ind w:left="5787" w:hanging="360"/>
      </w:pPr>
      <w:rPr>
        <w:rFonts w:ascii="Symbol" w:hAnsi="Symbol" w:hint="default"/>
      </w:rPr>
    </w:lvl>
    <w:lvl w:ilvl="7" w:tplc="0C090003" w:tentative="1">
      <w:start w:val="1"/>
      <w:numFmt w:val="bullet"/>
      <w:lvlText w:val="o"/>
      <w:lvlJc w:val="left"/>
      <w:pPr>
        <w:ind w:left="6507" w:hanging="360"/>
      </w:pPr>
      <w:rPr>
        <w:rFonts w:ascii="Courier New" w:hAnsi="Courier New" w:cs="Courier New" w:hint="default"/>
      </w:rPr>
    </w:lvl>
    <w:lvl w:ilvl="8" w:tplc="0C090005" w:tentative="1">
      <w:start w:val="1"/>
      <w:numFmt w:val="bullet"/>
      <w:lvlText w:val=""/>
      <w:lvlJc w:val="left"/>
      <w:pPr>
        <w:ind w:left="7227" w:hanging="360"/>
      </w:pPr>
      <w:rPr>
        <w:rFonts w:ascii="Wingdings" w:hAnsi="Wingdings" w:hint="default"/>
      </w:rPr>
    </w:lvl>
  </w:abstractNum>
  <w:abstractNum w:abstractNumId="13">
    <w:nsid w:val="27680BCE"/>
    <w:multiLevelType w:val="hybridMultilevel"/>
    <w:tmpl w:val="0CEA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6E2E7E"/>
    <w:multiLevelType w:val="singleLevel"/>
    <w:tmpl w:val="5DD401CA"/>
    <w:lvl w:ilvl="0">
      <w:start w:val="1"/>
      <w:numFmt w:val="bullet"/>
      <w:lvlText w:val=""/>
      <w:lvlJc w:val="left"/>
      <w:pPr>
        <w:tabs>
          <w:tab w:val="num" w:pos="360"/>
        </w:tabs>
        <w:ind w:left="360" w:hanging="360"/>
      </w:pPr>
      <w:rPr>
        <w:rFonts w:ascii="Symbol" w:hAnsi="Symbol" w:hint="default"/>
        <w:sz w:val="16"/>
      </w:rPr>
    </w:lvl>
  </w:abstractNum>
  <w:abstractNum w:abstractNumId="15">
    <w:nsid w:val="30E862CC"/>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6">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B4331BE"/>
    <w:multiLevelType w:val="hybridMultilevel"/>
    <w:tmpl w:val="6C1AB61C"/>
    <w:lvl w:ilvl="0" w:tplc="7DEA0C98">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314DC7"/>
    <w:multiLevelType w:val="hybridMultilevel"/>
    <w:tmpl w:val="FB6C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87F8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0">
    <w:nsid w:val="4B96007B"/>
    <w:multiLevelType w:val="hybridMultilevel"/>
    <w:tmpl w:val="2F2C2D5C"/>
    <w:lvl w:ilvl="0" w:tplc="0A9EBD52">
      <w:start w:val="1"/>
      <w:numFmt w:val="bullet"/>
      <w:lvlText w:val=""/>
      <w:lvlJc w:val="left"/>
      <w:pPr>
        <w:ind w:left="680" w:hanging="396"/>
      </w:pPr>
      <w:rPr>
        <w:rFonts w:ascii="Symbol" w:hAnsi="Symbol" w:hint="default"/>
      </w:rPr>
    </w:lvl>
    <w:lvl w:ilvl="1" w:tplc="0C090003" w:tentative="1">
      <w:start w:val="1"/>
      <w:numFmt w:val="bullet"/>
      <w:lvlText w:val="o"/>
      <w:lvlJc w:val="left"/>
      <w:pPr>
        <w:ind w:left="987" w:hanging="360"/>
      </w:pPr>
      <w:rPr>
        <w:rFonts w:ascii="Courier New" w:hAnsi="Courier New" w:cs="Courier New" w:hint="default"/>
      </w:rPr>
    </w:lvl>
    <w:lvl w:ilvl="2" w:tplc="0C090005" w:tentative="1">
      <w:start w:val="1"/>
      <w:numFmt w:val="bullet"/>
      <w:lvlText w:val=""/>
      <w:lvlJc w:val="left"/>
      <w:pPr>
        <w:ind w:left="1707" w:hanging="360"/>
      </w:pPr>
      <w:rPr>
        <w:rFonts w:ascii="Wingdings" w:hAnsi="Wingdings" w:hint="default"/>
      </w:rPr>
    </w:lvl>
    <w:lvl w:ilvl="3" w:tplc="0C090001" w:tentative="1">
      <w:start w:val="1"/>
      <w:numFmt w:val="bullet"/>
      <w:lvlText w:val=""/>
      <w:lvlJc w:val="left"/>
      <w:pPr>
        <w:ind w:left="2427" w:hanging="360"/>
      </w:pPr>
      <w:rPr>
        <w:rFonts w:ascii="Symbol" w:hAnsi="Symbol" w:hint="default"/>
      </w:rPr>
    </w:lvl>
    <w:lvl w:ilvl="4" w:tplc="0C090003" w:tentative="1">
      <w:start w:val="1"/>
      <w:numFmt w:val="bullet"/>
      <w:lvlText w:val="o"/>
      <w:lvlJc w:val="left"/>
      <w:pPr>
        <w:ind w:left="3147" w:hanging="360"/>
      </w:pPr>
      <w:rPr>
        <w:rFonts w:ascii="Courier New" w:hAnsi="Courier New" w:cs="Courier New" w:hint="default"/>
      </w:rPr>
    </w:lvl>
    <w:lvl w:ilvl="5" w:tplc="0C090005" w:tentative="1">
      <w:start w:val="1"/>
      <w:numFmt w:val="bullet"/>
      <w:lvlText w:val=""/>
      <w:lvlJc w:val="left"/>
      <w:pPr>
        <w:ind w:left="3867" w:hanging="360"/>
      </w:pPr>
      <w:rPr>
        <w:rFonts w:ascii="Wingdings" w:hAnsi="Wingdings" w:hint="default"/>
      </w:rPr>
    </w:lvl>
    <w:lvl w:ilvl="6" w:tplc="0C090001" w:tentative="1">
      <w:start w:val="1"/>
      <w:numFmt w:val="bullet"/>
      <w:lvlText w:val=""/>
      <w:lvlJc w:val="left"/>
      <w:pPr>
        <w:ind w:left="4587" w:hanging="360"/>
      </w:pPr>
      <w:rPr>
        <w:rFonts w:ascii="Symbol" w:hAnsi="Symbol" w:hint="default"/>
      </w:rPr>
    </w:lvl>
    <w:lvl w:ilvl="7" w:tplc="0C090003" w:tentative="1">
      <w:start w:val="1"/>
      <w:numFmt w:val="bullet"/>
      <w:lvlText w:val="o"/>
      <w:lvlJc w:val="left"/>
      <w:pPr>
        <w:ind w:left="5307" w:hanging="360"/>
      </w:pPr>
      <w:rPr>
        <w:rFonts w:ascii="Courier New" w:hAnsi="Courier New" w:cs="Courier New" w:hint="default"/>
      </w:rPr>
    </w:lvl>
    <w:lvl w:ilvl="8" w:tplc="0C090005" w:tentative="1">
      <w:start w:val="1"/>
      <w:numFmt w:val="bullet"/>
      <w:lvlText w:val=""/>
      <w:lvlJc w:val="left"/>
      <w:pPr>
        <w:ind w:left="6027" w:hanging="360"/>
      </w:pPr>
      <w:rPr>
        <w:rFonts w:ascii="Wingdings" w:hAnsi="Wingdings" w:hint="default"/>
      </w:rPr>
    </w:lvl>
  </w:abstractNum>
  <w:abstractNum w:abstractNumId="21">
    <w:nsid w:val="554742D7"/>
    <w:multiLevelType w:val="hybridMultilevel"/>
    <w:tmpl w:val="0ED8B7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nsid w:val="58161A42"/>
    <w:multiLevelType w:val="hybridMultilevel"/>
    <w:tmpl w:val="175A3CDC"/>
    <w:lvl w:ilvl="0" w:tplc="0A9EBD52">
      <w:start w:val="1"/>
      <w:numFmt w:val="bullet"/>
      <w:lvlText w:val=""/>
      <w:lvlJc w:val="left"/>
      <w:pPr>
        <w:ind w:left="680" w:hanging="396"/>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192ECD"/>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4">
    <w:nsid w:val="5A751231"/>
    <w:multiLevelType w:val="hybridMultilevel"/>
    <w:tmpl w:val="2084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0E6A3A"/>
    <w:multiLevelType w:val="hybridMultilevel"/>
    <w:tmpl w:val="E01298BE"/>
    <w:lvl w:ilvl="0" w:tplc="6602E98C">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3A624D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8">
    <w:nsid w:val="656523B6"/>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29">
    <w:nsid w:val="65BC2109"/>
    <w:multiLevelType w:val="hybridMultilevel"/>
    <w:tmpl w:val="1E785EA2"/>
    <w:lvl w:ilvl="0" w:tplc="95066BE6">
      <w:start w:val="1"/>
      <w:numFmt w:val="bullet"/>
      <w:lvlText w:val=""/>
      <w:lvlJc w:val="left"/>
      <w:pPr>
        <w:ind w:left="737"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E50623"/>
    <w:multiLevelType w:val="hybridMultilevel"/>
    <w:tmpl w:val="45D6A124"/>
    <w:lvl w:ilvl="0" w:tplc="E06076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2A6C38"/>
    <w:multiLevelType w:val="hybridMultilevel"/>
    <w:tmpl w:val="D5A23870"/>
    <w:lvl w:ilvl="0" w:tplc="553E94A4">
      <w:start w:val="1"/>
      <w:numFmt w:val="bullet"/>
      <w:lvlText w:val=""/>
      <w:lvlJc w:val="left"/>
      <w:pPr>
        <w:ind w:left="624"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191375"/>
    <w:multiLevelType w:val="hybridMultilevel"/>
    <w:tmpl w:val="3D96F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197C83"/>
    <w:multiLevelType w:val="hybridMultilevel"/>
    <w:tmpl w:val="ACE0B160"/>
    <w:lvl w:ilvl="0" w:tplc="6602E98C">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Helvetica Neue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B00085"/>
    <w:multiLevelType w:val="singleLevel"/>
    <w:tmpl w:val="789C8126"/>
    <w:lvl w:ilvl="0">
      <w:start w:val="1"/>
      <w:numFmt w:val="decimal"/>
      <w:lvlText w:val="%1."/>
      <w:lvlJc w:val="left"/>
      <w:pPr>
        <w:tabs>
          <w:tab w:val="num" w:pos="360"/>
        </w:tabs>
        <w:ind w:left="360" w:hanging="360"/>
      </w:pPr>
    </w:lvl>
  </w:abstractNum>
  <w:abstractNum w:abstractNumId="35">
    <w:nsid w:val="7731652B"/>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36">
    <w:nsid w:val="7B7914B3"/>
    <w:multiLevelType w:val="hybridMultilevel"/>
    <w:tmpl w:val="B908F524"/>
    <w:lvl w:ilvl="0" w:tplc="95066BE6">
      <w:start w:val="1"/>
      <w:numFmt w:val="bullet"/>
      <w:lvlText w:val=""/>
      <w:lvlJc w:val="left"/>
      <w:pPr>
        <w:ind w:left="284" w:firstLine="0"/>
      </w:pPr>
      <w:rPr>
        <w:rFonts w:ascii="Symbol" w:hAnsi="Symbol" w:hint="default"/>
      </w:rPr>
    </w:lvl>
    <w:lvl w:ilvl="1" w:tplc="0C090003" w:tentative="1">
      <w:start w:val="1"/>
      <w:numFmt w:val="bullet"/>
      <w:lvlText w:val="o"/>
      <w:lvlJc w:val="left"/>
      <w:pPr>
        <w:ind w:left="987" w:hanging="360"/>
      </w:pPr>
      <w:rPr>
        <w:rFonts w:ascii="Courier New" w:hAnsi="Courier New" w:cs="Courier New" w:hint="default"/>
      </w:rPr>
    </w:lvl>
    <w:lvl w:ilvl="2" w:tplc="0C090005" w:tentative="1">
      <w:start w:val="1"/>
      <w:numFmt w:val="bullet"/>
      <w:lvlText w:val=""/>
      <w:lvlJc w:val="left"/>
      <w:pPr>
        <w:ind w:left="1707" w:hanging="360"/>
      </w:pPr>
      <w:rPr>
        <w:rFonts w:ascii="Wingdings" w:hAnsi="Wingdings" w:hint="default"/>
      </w:rPr>
    </w:lvl>
    <w:lvl w:ilvl="3" w:tplc="0C090001" w:tentative="1">
      <w:start w:val="1"/>
      <w:numFmt w:val="bullet"/>
      <w:lvlText w:val=""/>
      <w:lvlJc w:val="left"/>
      <w:pPr>
        <w:ind w:left="2427" w:hanging="360"/>
      </w:pPr>
      <w:rPr>
        <w:rFonts w:ascii="Symbol" w:hAnsi="Symbol" w:hint="default"/>
      </w:rPr>
    </w:lvl>
    <w:lvl w:ilvl="4" w:tplc="0C090003" w:tentative="1">
      <w:start w:val="1"/>
      <w:numFmt w:val="bullet"/>
      <w:lvlText w:val="o"/>
      <w:lvlJc w:val="left"/>
      <w:pPr>
        <w:ind w:left="3147" w:hanging="360"/>
      </w:pPr>
      <w:rPr>
        <w:rFonts w:ascii="Courier New" w:hAnsi="Courier New" w:cs="Courier New" w:hint="default"/>
      </w:rPr>
    </w:lvl>
    <w:lvl w:ilvl="5" w:tplc="0C090005" w:tentative="1">
      <w:start w:val="1"/>
      <w:numFmt w:val="bullet"/>
      <w:lvlText w:val=""/>
      <w:lvlJc w:val="left"/>
      <w:pPr>
        <w:ind w:left="3867" w:hanging="360"/>
      </w:pPr>
      <w:rPr>
        <w:rFonts w:ascii="Wingdings" w:hAnsi="Wingdings" w:hint="default"/>
      </w:rPr>
    </w:lvl>
    <w:lvl w:ilvl="6" w:tplc="0C090001" w:tentative="1">
      <w:start w:val="1"/>
      <w:numFmt w:val="bullet"/>
      <w:lvlText w:val=""/>
      <w:lvlJc w:val="left"/>
      <w:pPr>
        <w:ind w:left="4587" w:hanging="360"/>
      </w:pPr>
      <w:rPr>
        <w:rFonts w:ascii="Symbol" w:hAnsi="Symbol" w:hint="default"/>
      </w:rPr>
    </w:lvl>
    <w:lvl w:ilvl="7" w:tplc="0C090003" w:tentative="1">
      <w:start w:val="1"/>
      <w:numFmt w:val="bullet"/>
      <w:lvlText w:val="o"/>
      <w:lvlJc w:val="left"/>
      <w:pPr>
        <w:ind w:left="5307" w:hanging="360"/>
      </w:pPr>
      <w:rPr>
        <w:rFonts w:ascii="Courier New" w:hAnsi="Courier New" w:cs="Courier New" w:hint="default"/>
      </w:rPr>
    </w:lvl>
    <w:lvl w:ilvl="8" w:tplc="0C090005" w:tentative="1">
      <w:start w:val="1"/>
      <w:numFmt w:val="bullet"/>
      <w:lvlText w:val=""/>
      <w:lvlJc w:val="left"/>
      <w:pPr>
        <w:ind w:left="6027" w:hanging="360"/>
      </w:pPr>
      <w:rPr>
        <w:rFonts w:ascii="Wingdings" w:hAnsi="Wingdings" w:hint="default"/>
      </w:rPr>
    </w:lvl>
  </w:abstractNum>
  <w:abstractNum w:abstractNumId="37">
    <w:nsid w:val="7BB471F7"/>
    <w:multiLevelType w:val="hybridMultilevel"/>
    <w:tmpl w:val="A1167A36"/>
    <w:lvl w:ilvl="0" w:tplc="8656F2BE">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DFE5FB2"/>
    <w:multiLevelType w:val="hybridMultilevel"/>
    <w:tmpl w:val="DE62E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7"/>
  </w:num>
  <w:num w:numId="4">
    <w:abstractNumId w:val="5"/>
  </w:num>
  <w:num w:numId="5">
    <w:abstractNumId w:val="23"/>
  </w:num>
  <w:num w:numId="6">
    <w:abstractNumId w:val="15"/>
  </w:num>
  <w:num w:numId="7">
    <w:abstractNumId w:val="35"/>
  </w:num>
  <w:num w:numId="8">
    <w:abstractNumId w:val="28"/>
  </w:num>
  <w:num w:numId="9">
    <w:abstractNumId w:val="19"/>
  </w:num>
  <w:num w:numId="10">
    <w:abstractNumId w:val="16"/>
  </w:num>
  <w:num w:numId="11">
    <w:abstractNumId w:val="34"/>
  </w:num>
  <w:num w:numId="12">
    <w:abstractNumId w:val="1"/>
  </w:num>
  <w:num w:numId="13">
    <w:abstractNumId w:val="34"/>
  </w:num>
  <w:num w:numId="14">
    <w:abstractNumId w:val="26"/>
  </w:num>
  <w:num w:numId="15">
    <w:abstractNumId w:val="4"/>
  </w:num>
  <w:num w:numId="16">
    <w:abstractNumId w:val="6"/>
  </w:num>
  <w:num w:numId="17">
    <w:abstractNumId w:val="26"/>
  </w:num>
  <w:num w:numId="18">
    <w:abstractNumId w:val="26"/>
  </w:num>
  <w:num w:numId="19">
    <w:abstractNumId w:val="26"/>
  </w:num>
  <w:num w:numId="20">
    <w:abstractNumId w:val="26"/>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1"/>
  </w:num>
  <w:num w:numId="40">
    <w:abstractNumId w:val="7"/>
  </w:num>
  <w:num w:numId="41">
    <w:abstractNumId w:val="13"/>
  </w:num>
  <w:num w:numId="42">
    <w:abstractNumId w:val="26"/>
  </w:num>
  <w:num w:numId="43">
    <w:abstractNumId w:val="33"/>
  </w:num>
  <w:num w:numId="44">
    <w:abstractNumId w:val="25"/>
  </w:num>
  <w:num w:numId="45">
    <w:abstractNumId w:val="38"/>
  </w:num>
  <w:num w:numId="46">
    <w:abstractNumId w:val="24"/>
  </w:num>
  <w:num w:numId="47">
    <w:abstractNumId w:val="18"/>
  </w:num>
  <w:num w:numId="48">
    <w:abstractNumId w:val="0"/>
  </w:num>
  <w:num w:numId="49">
    <w:abstractNumId w:val="32"/>
  </w:num>
  <w:num w:numId="50">
    <w:abstractNumId w:val="33"/>
  </w:num>
  <w:num w:numId="51">
    <w:abstractNumId w:val="30"/>
  </w:num>
  <w:num w:numId="52">
    <w:abstractNumId w:val="12"/>
  </w:num>
  <w:num w:numId="53">
    <w:abstractNumId w:val="9"/>
  </w:num>
  <w:num w:numId="54">
    <w:abstractNumId w:val="8"/>
  </w:num>
  <w:num w:numId="55">
    <w:abstractNumId w:val="17"/>
  </w:num>
  <w:num w:numId="56">
    <w:abstractNumId w:val="29"/>
  </w:num>
  <w:num w:numId="57">
    <w:abstractNumId w:val="36"/>
  </w:num>
  <w:num w:numId="58">
    <w:abstractNumId w:val="20"/>
  </w:num>
  <w:num w:numId="59">
    <w:abstractNumId w:val="22"/>
  </w:num>
  <w:num w:numId="60">
    <w:abstractNumId w:val="31"/>
  </w:num>
  <w:num w:numId="61">
    <w:abstractNumId w:val="37"/>
  </w:num>
  <w:num w:numId="62">
    <w:abstractNumId w:val="11"/>
  </w:num>
  <w:num w:numId="63">
    <w:abstractNumId w:val="2"/>
  </w:num>
  <w:num w:numId="64">
    <w:abstractNumId w:val="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284"/>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F92B15"/>
    <w:rsid w:val="00007693"/>
    <w:rsid w:val="00020327"/>
    <w:rsid w:val="00023C95"/>
    <w:rsid w:val="000259FD"/>
    <w:rsid w:val="00035AEB"/>
    <w:rsid w:val="00051CF3"/>
    <w:rsid w:val="00055F40"/>
    <w:rsid w:val="00063365"/>
    <w:rsid w:val="000704D9"/>
    <w:rsid w:val="00073608"/>
    <w:rsid w:val="00081824"/>
    <w:rsid w:val="000856CA"/>
    <w:rsid w:val="00085C21"/>
    <w:rsid w:val="0009101F"/>
    <w:rsid w:val="00095995"/>
    <w:rsid w:val="000A0B7A"/>
    <w:rsid w:val="000A4FA5"/>
    <w:rsid w:val="000A66E7"/>
    <w:rsid w:val="000C275E"/>
    <w:rsid w:val="000C430C"/>
    <w:rsid w:val="000C4CD6"/>
    <w:rsid w:val="000C708D"/>
    <w:rsid w:val="000E2BBC"/>
    <w:rsid w:val="000E3414"/>
    <w:rsid w:val="00104029"/>
    <w:rsid w:val="001068D8"/>
    <w:rsid w:val="00111E10"/>
    <w:rsid w:val="00133270"/>
    <w:rsid w:val="00142B0A"/>
    <w:rsid w:val="0014525E"/>
    <w:rsid w:val="0016213E"/>
    <w:rsid w:val="00165FF9"/>
    <w:rsid w:val="00183F53"/>
    <w:rsid w:val="001A21C9"/>
    <w:rsid w:val="001B06DB"/>
    <w:rsid w:val="001C12E2"/>
    <w:rsid w:val="001C782E"/>
    <w:rsid w:val="001D3D5A"/>
    <w:rsid w:val="001E53D0"/>
    <w:rsid w:val="001F1FC1"/>
    <w:rsid w:val="00205478"/>
    <w:rsid w:val="00214220"/>
    <w:rsid w:val="00217E7B"/>
    <w:rsid w:val="00244AAB"/>
    <w:rsid w:val="002614A8"/>
    <w:rsid w:val="00261580"/>
    <w:rsid w:val="00261ED3"/>
    <w:rsid w:val="00276641"/>
    <w:rsid w:val="002822CF"/>
    <w:rsid w:val="00287FEF"/>
    <w:rsid w:val="00290CB8"/>
    <w:rsid w:val="002A2C96"/>
    <w:rsid w:val="002B3EB1"/>
    <w:rsid w:val="002C196C"/>
    <w:rsid w:val="002C2B9D"/>
    <w:rsid w:val="002D1F07"/>
    <w:rsid w:val="002E47E2"/>
    <w:rsid w:val="002E4A8F"/>
    <w:rsid w:val="00301495"/>
    <w:rsid w:val="00304325"/>
    <w:rsid w:val="0030757B"/>
    <w:rsid w:val="0032627D"/>
    <w:rsid w:val="00336463"/>
    <w:rsid w:val="00337D32"/>
    <w:rsid w:val="003411DD"/>
    <w:rsid w:val="00346AC4"/>
    <w:rsid w:val="00354750"/>
    <w:rsid w:val="00364446"/>
    <w:rsid w:val="00385176"/>
    <w:rsid w:val="00385E61"/>
    <w:rsid w:val="003A25B7"/>
    <w:rsid w:val="003A2DF5"/>
    <w:rsid w:val="003B6F98"/>
    <w:rsid w:val="003C28E0"/>
    <w:rsid w:val="003D3452"/>
    <w:rsid w:val="003F13D4"/>
    <w:rsid w:val="003F6DFA"/>
    <w:rsid w:val="0040268F"/>
    <w:rsid w:val="004202FB"/>
    <w:rsid w:val="00420A5B"/>
    <w:rsid w:val="00431FE1"/>
    <w:rsid w:val="004325B5"/>
    <w:rsid w:val="00437138"/>
    <w:rsid w:val="004466EA"/>
    <w:rsid w:val="0047628B"/>
    <w:rsid w:val="004818D4"/>
    <w:rsid w:val="004937F8"/>
    <w:rsid w:val="00493840"/>
    <w:rsid w:val="0049725E"/>
    <w:rsid w:val="004A651A"/>
    <w:rsid w:val="004D2140"/>
    <w:rsid w:val="004F2A9F"/>
    <w:rsid w:val="004F56D4"/>
    <w:rsid w:val="004F6AAC"/>
    <w:rsid w:val="005005EA"/>
    <w:rsid w:val="005079EF"/>
    <w:rsid w:val="00536294"/>
    <w:rsid w:val="00543625"/>
    <w:rsid w:val="00543994"/>
    <w:rsid w:val="00556500"/>
    <w:rsid w:val="00572C76"/>
    <w:rsid w:val="005A7BB8"/>
    <w:rsid w:val="005C12D1"/>
    <w:rsid w:val="005C3387"/>
    <w:rsid w:val="005C7405"/>
    <w:rsid w:val="005D26C8"/>
    <w:rsid w:val="005D5D08"/>
    <w:rsid w:val="005F24B5"/>
    <w:rsid w:val="006109DA"/>
    <w:rsid w:val="0063708B"/>
    <w:rsid w:val="00646305"/>
    <w:rsid w:val="00647B8F"/>
    <w:rsid w:val="00662D4D"/>
    <w:rsid w:val="006743C7"/>
    <w:rsid w:val="006805BC"/>
    <w:rsid w:val="00684895"/>
    <w:rsid w:val="006932D8"/>
    <w:rsid w:val="00694464"/>
    <w:rsid w:val="006A15A1"/>
    <w:rsid w:val="006C3B6C"/>
    <w:rsid w:val="006D740D"/>
    <w:rsid w:val="006E3361"/>
    <w:rsid w:val="006E75C1"/>
    <w:rsid w:val="00711237"/>
    <w:rsid w:val="0072782F"/>
    <w:rsid w:val="00735C98"/>
    <w:rsid w:val="00741936"/>
    <w:rsid w:val="007458F4"/>
    <w:rsid w:val="007A0C35"/>
    <w:rsid w:val="007A0E5D"/>
    <w:rsid w:val="007A4DF1"/>
    <w:rsid w:val="007B140F"/>
    <w:rsid w:val="007C0F33"/>
    <w:rsid w:val="007C1C7C"/>
    <w:rsid w:val="007C31E9"/>
    <w:rsid w:val="007D670B"/>
    <w:rsid w:val="007E30F1"/>
    <w:rsid w:val="008122AB"/>
    <w:rsid w:val="00814A45"/>
    <w:rsid w:val="00821867"/>
    <w:rsid w:val="00822295"/>
    <w:rsid w:val="00823BB7"/>
    <w:rsid w:val="008310E5"/>
    <w:rsid w:val="00831227"/>
    <w:rsid w:val="00840CA5"/>
    <w:rsid w:val="00847110"/>
    <w:rsid w:val="00851EEF"/>
    <w:rsid w:val="00852F48"/>
    <w:rsid w:val="00855A78"/>
    <w:rsid w:val="00867C8E"/>
    <w:rsid w:val="0087020F"/>
    <w:rsid w:val="00876BCF"/>
    <w:rsid w:val="0088336B"/>
    <w:rsid w:val="008A1D1B"/>
    <w:rsid w:val="008A66C4"/>
    <w:rsid w:val="008B2FB6"/>
    <w:rsid w:val="008B7741"/>
    <w:rsid w:val="008C188E"/>
    <w:rsid w:val="008C4DB0"/>
    <w:rsid w:val="008C7699"/>
    <w:rsid w:val="008E2D38"/>
    <w:rsid w:val="008E5673"/>
    <w:rsid w:val="008F7745"/>
    <w:rsid w:val="009079FA"/>
    <w:rsid w:val="00924A0E"/>
    <w:rsid w:val="009274C0"/>
    <w:rsid w:val="00935CDE"/>
    <w:rsid w:val="00944926"/>
    <w:rsid w:val="009461BA"/>
    <w:rsid w:val="00996878"/>
    <w:rsid w:val="0099691A"/>
    <w:rsid w:val="009A2D3F"/>
    <w:rsid w:val="009B422B"/>
    <w:rsid w:val="009D08AF"/>
    <w:rsid w:val="009D1E75"/>
    <w:rsid w:val="009D251A"/>
    <w:rsid w:val="009D2F02"/>
    <w:rsid w:val="009D62A9"/>
    <w:rsid w:val="009D6F11"/>
    <w:rsid w:val="009D705C"/>
    <w:rsid w:val="009F2E4C"/>
    <w:rsid w:val="00A009DB"/>
    <w:rsid w:val="00A05982"/>
    <w:rsid w:val="00A06807"/>
    <w:rsid w:val="00A068E6"/>
    <w:rsid w:val="00A11194"/>
    <w:rsid w:val="00A146C1"/>
    <w:rsid w:val="00A27817"/>
    <w:rsid w:val="00A52D75"/>
    <w:rsid w:val="00A642C3"/>
    <w:rsid w:val="00A7587E"/>
    <w:rsid w:val="00A852C0"/>
    <w:rsid w:val="00AB5C2C"/>
    <w:rsid w:val="00AB7ECC"/>
    <w:rsid w:val="00AC1043"/>
    <w:rsid w:val="00AC418E"/>
    <w:rsid w:val="00AD1558"/>
    <w:rsid w:val="00AD32D4"/>
    <w:rsid w:val="00B12EAD"/>
    <w:rsid w:val="00B13591"/>
    <w:rsid w:val="00B30186"/>
    <w:rsid w:val="00B4354D"/>
    <w:rsid w:val="00B53E86"/>
    <w:rsid w:val="00B54B64"/>
    <w:rsid w:val="00B60940"/>
    <w:rsid w:val="00B646AE"/>
    <w:rsid w:val="00B732D5"/>
    <w:rsid w:val="00B7336A"/>
    <w:rsid w:val="00B74D9F"/>
    <w:rsid w:val="00B75180"/>
    <w:rsid w:val="00B92DAC"/>
    <w:rsid w:val="00BB1CA4"/>
    <w:rsid w:val="00BB588F"/>
    <w:rsid w:val="00BB669E"/>
    <w:rsid w:val="00BC17A0"/>
    <w:rsid w:val="00BC3949"/>
    <w:rsid w:val="00BC596D"/>
    <w:rsid w:val="00BD79BD"/>
    <w:rsid w:val="00BE15BA"/>
    <w:rsid w:val="00BE302E"/>
    <w:rsid w:val="00BE3A87"/>
    <w:rsid w:val="00BE6FD3"/>
    <w:rsid w:val="00BF70B3"/>
    <w:rsid w:val="00C0606D"/>
    <w:rsid w:val="00C10F3F"/>
    <w:rsid w:val="00C457D9"/>
    <w:rsid w:val="00C52490"/>
    <w:rsid w:val="00C537D1"/>
    <w:rsid w:val="00C613C5"/>
    <w:rsid w:val="00C77483"/>
    <w:rsid w:val="00C93B2C"/>
    <w:rsid w:val="00CB1449"/>
    <w:rsid w:val="00CB3B68"/>
    <w:rsid w:val="00CC60C3"/>
    <w:rsid w:val="00CD5C7E"/>
    <w:rsid w:val="00CD64B8"/>
    <w:rsid w:val="00CD6B08"/>
    <w:rsid w:val="00CE4372"/>
    <w:rsid w:val="00D2003D"/>
    <w:rsid w:val="00D254FB"/>
    <w:rsid w:val="00D260E1"/>
    <w:rsid w:val="00D26ECE"/>
    <w:rsid w:val="00D31D2A"/>
    <w:rsid w:val="00D46CFC"/>
    <w:rsid w:val="00D7637F"/>
    <w:rsid w:val="00D83554"/>
    <w:rsid w:val="00DA0679"/>
    <w:rsid w:val="00DA5907"/>
    <w:rsid w:val="00DB6643"/>
    <w:rsid w:val="00DC5939"/>
    <w:rsid w:val="00DD2CBC"/>
    <w:rsid w:val="00DD563A"/>
    <w:rsid w:val="00DF1788"/>
    <w:rsid w:val="00E07AF5"/>
    <w:rsid w:val="00E206FB"/>
    <w:rsid w:val="00E35E35"/>
    <w:rsid w:val="00E37292"/>
    <w:rsid w:val="00E41963"/>
    <w:rsid w:val="00E460EC"/>
    <w:rsid w:val="00E56E30"/>
    <w:rsid w:val="00E61D20"/>
    <w:rsid w:val="00E670BD"/>
    <w:rsid w:val="00E744E0"/>
    <w:rsid w:val="00E85EC7"/>
    <w:rsid w:val="00EC6855"/>
    <w:rsid w:val="00ED3674"/>
    <w:rsid w:val="00ED49CF"/>
    <w:rsid w:val="00EE21EB"/>
    <w:rsid w:val="00F2384F"/>
    <w:rsid w:val="00F27102"/>
    <w:rsid w:val="00F67448"/>
    <w:rsid w:val="00F7264E"/>
    <w:rsid w:val="00F92B15"/>
    <w:rsid w:val="00F92F04"/>
    <w:rsid w:val="00FB78ED"/>
    <w:rsid w:val="00FC00B5"/>
    <w:rsid w:val="00FC1717"/>
    <w:rsid w:val="00FC2777"/>
    <w:rsid w:val="00FC2AC0"/>
    <w:rsid w:val="00FC3844"/>
    <w:rsid w:val="00FC62CF"/>
    <w:rsid w:val="00FD171F"/>
    <w:rsid w:val="00FD28E4"/>
    <w:rsid w:val="00FD6F09"/>
    <w:rsid w:val="00FE3326"/>
    <w:rsid w:val="00FE71B0"/>
    <w:rsid w:val="00FF507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75E"/>
    <w:pPr>
      <w:spacing w:before="120"/>
      <w:jc w:val="both"/>
    </w:pPr>
    <w:rPr>
      <w:rFonts w:ascii="Arial" w:hAnsi="Arial"/>
      <w:sz w:val="22"/>
    </w:rPr>
  </w:style>
  <w:style w:type="paragraph" w:styleId="Heading1">
    <w:name w:val="heading 1"/>
    <w:basedOn w:val="Normal"/>
    <w:qFormat/>
    <w:rsid w:val="00684895"/>
    <w:pPr>
      <w:keepNext/>
      <w:keepLines/>
      <w:spacing w:before="240"/>
      <w:jc w:val="center"/>
      <w:outlineLvl w:val="0"/>
    </w:pPr>
    <w:rPr>
      <w:b/>
      <w:bCs/>
      <w:caps/>
    </w:rPr>
  </w:style>
  <w:style w:type="paragraph" w:styleId="Heading2">
    <w:name w:val="heading 2"/>
    <w:basedOn w:val="Normal"/>
    <w:qFormat/>
    <w:rsid w:val="000C275E"/>
    <w:pPr>
      <w:jc w:val="left"/>
      <w:outlineLvl w:val="1"/>
    </w:pPr>
    <w:rPr>
      <w:rFonts w:cs="Arial"/>
      <w:b/>
      <w:bCs/>
      <w:sz w:val="24"/>
    </w:rPr>
  </w:style>
  <w:style w:type="paragraph" w:styleId="Heading3">
    <w:name w:val="heading 3"/>
    <w:basedOn w:val="Normal"/>
    <w:qFormat/>
    <w:rsid w:val="004937F8"/>
    <w:pPr>
      <w:numPr>
        <w:numId w:val="14"/>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4"/>
      </w:numPr>
    </w:pPr>
  </w:style>
  <w:style w:type="character" w:styleId="FollowedHyperlink">
    <w:name w:val="FollowedHyperlink"/>
    <w:rsid w:val="00035AEB"/>
    <w:rPr>
      <w:color w:val="800080"/>
      <w:u w:val="single"/>
    </w:rPr>
  </w:style>
  <w:style w:type="character" w:customStyle="1" w:styleId="apple-converted-space">
    <w:name w:val="apple-converted-space"/>
    <w:rsid w:val="003A2DF5"/>
  </w:style>
  <w:style w:type="paragraph" w:styleId="ListParagraph">
    <w:name w:val="List Paragraph"/>
    <w:basedOn w:val="Normal"/>
    <w:link w:val="ListParagraphChar"/>
    <w:uiPriority w:val="34"/>
    <w:qFormat/>
    <w:rsid w:val="00FD6F09"/>
    <w:pPr>
      <w:spacing w:before="0" w:after="160"/>
      <w:ind w:left="720"/>
      <w:contextualSpacing/>
      <w:jc w:val="left"/>
    </w:pPr>
    <w:rPr>
      <w:color w:val="404040"/>
      <w:sz w:val="20"/>
    </w:rPr>
  </w:style>
  <w:style w:type="character" w:customStyle="1" w:styleId="ListParagraphChar">
    <w:name w:val="List Paragraph Char"/>
    <w:link w:val="ListParagraph"/>
    <w:uiPriority w:val="34"/>
    <w:rsid w:val="00FD6F09"/>
    <w:rPr>
      <w:rFonts w:ascii="Arial" w:hAnsi="Arial" w:cs="Courier New"/>
      <w:color w:val="404040"/>
      <w:lang w:val="en-AU"/>
    </w:rPr>
  </w:style>
  <w:style w:type="paragraph" w:styleId="ListBullet">
    <w:name w:val="List Bullet"/>
    <w:aliases w:val="List_Bullet"/>
    <w:basedOn w:val="Normal"/>
    <w:link w:val="ListBulletChar"/>
    <w:rsid w:val="00FD6F09"/>
    <w:pPr>
      <w:numPr>
        <w:numId w:val="43"/>
      </w:numPr>
      <w:spacing w:before="0" w:after="160"/>
      <w:jc w:val="left"/>
    </w:pPr>
    <w:rPr>
      <w:color w:val="404040"/>
      <w:sz w:val="20"/>
    </w:rPr>
  </w:style>
  <w:style w:type="character" w:customStyle="1" w:styleId="ListBulletChar">
    <w:name w:val="List Bullet Char"/>
    <w:aliases w:val="List_Bullet Char"/>
    <w:link w:val="ListBullet"/>
    <w:rsid w:val="00FD6F09"/>
    <w:rPr>
      <w:rFonts w:ascii="Arial" w:hAnsi="Arial"/>
      <w:color w:val="404040"/>
      <w:lang w:val="en-AU"/>
    </w:rPr>
  </w:style>
  <w:style w:type="paragraph" w:customStyle="1" w:styleId="Default">
    <w:name w:val="Default"/>
    <w:rsid w:val="00D46CF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D171F"/>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3339514">
      <w:bodyDiv w:val="1"/>
      <w:marLeft w:val="0"/>
      <w:marRight w:val="0"/>
      <w:marTop w:val="0"/>
      <w:marBottom w:val="0"/>
      <w:divBdr>
        <w:top w:val="none" w:sz="0" w:space="0" w:color="auto"/>
        <w:left w:val="none" w:sz="0" w:space="0" w:color="auto"/>
        <w:bottom w:val="none" w:sz="0" w:space="0" w:color="auto"/>
        <w:right w:val="none" w:sz="0" w:space="0" w:color="auto"/>
      </w:divBdr>
    </w:div>
    <w:div w:id="1145198999">
      <w:bodyDiv w:val="1"/>
      <w:marLeft w:val="0"/>
      <w:marRight w:val="0"/>
      <w:marTop w:val="0"/>
      <w:marBottom w:val="0"/>
      <w:divBdr>
        <w:top w:val="none" w:sz="0" w:space="0" w:color="auto"/>
        <w:left w:val="none" w:sz="0" w:space="0" w:color="auto"/>
        <w:bottom w:val="none" w:sz="0" w:space="0" w:color="auto"/>
        <w:right w:val="none" w:sz="0" w:space="0" w:color="auto"/>
      </w:divBdr>
    </w:div>
    <w:div w:id="1302534323">
      <w:bodyDiv w:val="1"/>
      <w:marLeft w:val="0"/>
      <w:marRight w:val="0"/>
      <w:marTop w:val="0"/>
      <w:marBottom w:val="0"/>
      <w:divBdr>
        <w:top w:val="none" w:sz="0" w:space="0" w:color="auto"/>
        <w:left w:val="none" w:sz="0" w:space="0" w:color="auto"/>
        <w:bottom w:val="none" w:sz="0" w:space="0" w:color="auto"/>
        <w:right w:val="none" w:sz="0" w:space="0" w:color="auto"/>
      </w:divBdr>
    </w:div>
    <w:div w:id="1368991501">
      <w:bodyDiv w:val="1"/>
      <w:marLeft w:val="0"/>
      <w:marRight w:val="0"/>
      <w:marTop w:val="0"/>
      <w:marBottom w:val="0"/>
      <w:divBdr>
        <w:top w:val="none" w:sz="0" w:space="0" w:color="auto"/>
        <w:left w:val="none" w:sz="0" w:space="0" w:color="auto"/>
        <w:bottom w:val="none" w:sz="0" w:space="0" w:color="auto"/>
        <w:right w:val="none" w:sz="0" w:space="0" w:color="auto"/>
      </w:divBdr>
    </w:div>
    <w:div w:id="1710376610">
      <w:bodyDiv w:val="1"/>
      <w:marLeft w:val="0"/>
      <w:marRight w:val="0"/>
      <w:marTop w:val="0"/>
      <w:marBottom w:val="0"/>
      <w:divBdr>
        <w:top w:val="none" w:sz="0" w:space="0" w:color="auto"/>
        <w:left w:val="none" w:sz="0" w:space="0" w:color="auto"/>
        <w:bottom w:val="none" w:sz="0" w:space="0" w:color="auto"/>
        <w:right w:val="none" w:sz="0" w:space="0" w:color="auto"/>
      </w:divBdr>
    </w:div>
    <w:div w:id="18383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ash.vic.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tpli.vic.gov.au/planning/planning-schemes/changing-the-planning-scheme/planning-documents-on-exhib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EA2B0-7C84-42F9-B89D-F195EC6D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2209</Words>
  <Characters>12495</Characters>
  <Application>Microsoft Office Word</Application>
  <DocSecurity>0</DocSecurity>
  <Lines>367</Lines>
  <Paragraphs>163</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DOI</Company>
  <LinksUpToDate>false</LinksUpToDate>
  <CharactersWithSpaces>14541</CharactersWithSpaces>
  <SharedDoc>false</SharedDoc>
  <HLinks>
    <vt:vector size="12" baseType="variant">
      <vt:variant>
        <vt:i4>2490428</vt:i4>
      </vt:variant>
      <vt:variant>
        <vt:i4>3</vt:i4>
      </vt:variant>
      <vt:variant>
        <vt:i4>0</vt:i4>
      </vt:variant>
      <vt:variant>
        <vt:i4>5</vt:i4>
      </vt:variant>
      <vt:variant>
        <vt:lpwstr>http://www.dtpli.vic.gov.au/planning/planning-schemes/changing-the-planning-scheme/planning-documents-on-exhibition</vt:lpwstr>
      </vt:variant>
      <vt:variant>
        <vt:lpwstr/>
      </vt:variant>
      <vt:variant>
        <vt:i4>393299</vt:i4>
      </vt:variant>
      <vt:variant>
        <vt:i4>0</vt:i4>
      </vt:variant>
      <vt:variant>
        <vt:i4>0</vt:i4>
      </vt:variant>
      <vt:variant>
        <vt:i4>5</vt:i4>
      </vt:variant>
      <vt:variant>
        <vt:lpwstr>http://www.monash.vic.gov.au/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creator>de Saram</dc:creator>
  <cp:lastModifiedBy>Administrator</cp:lastModifiedBy>
  <cp:revision>2</cp:revision>
  <cp:lastPrinted>2016-10-26T00:07:00Z</cp:lastPrinted>
  <dcterms:created xsi:type="dcterms:W3CDTF">2017-01-12T02:58:00Z</dcterms:created>
  <dcterms:modified xsi:type="dcterms:W3CDTF">2017-01-12T02:58:00Z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1669221014</vt:i4>
  </property>
  <property fmtid="{D5CDD505-2E9C-101B-9397-08002B2CF9AE}" pid="3" name="_NewReviewCycle">
    <vt:lpwstr/>
  </property>
  <property fmtid="{D5CDD505-2E9C-101B-9397-08002B2CF9AE}" pid="4" name="_EmailSubject">
    <vt:lpwstr>Monash C129 Notice of Preparation of amendment Exhibition.doc</vt:lpwstr>
  </property>
  <property fmtid="{D5CDD505-2E9C-101B-9397-08002B2CF9AE}" pid="5" name="_AuthorEmail">
    <vt:lpwstr>Aaron.Hewett@monash.vic.gov.au</vt:lpwstr>
  </property>
  <property fmtid="{D5CDD505-2E9C-101B-9397-08002B2CF9AE}" pid="6" name="_AuthorEmailDisplayName">
    <vt:lpwstr>Aaron Hewett</vt:lpwstr>
  </property>
</Properties>
</file>